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EB" w:rsidRPr="00C22C4F" w:rsidRDefault="003834EA">
      <w:pPr>
        <w:jc w:val="right"/>
        <w:rPr>
          <w:rFonts w:ascii="Arial" w:hAnsi="Arial" w:cs="Arial"/>
          <w:bCs/>
        </w:rPr>
      </w:pPr>
      <w:bookmarkStart w:id="0" w:name="_GoBack"/>
      <w:bookmarkEnd w:id="0"/>
      <w:r w:rsidRPr="00C22C4F">
        <w:rPr>
          <w:rFonts w:ascii="Arial" w:hAnsi="Arial" w:cs="Arial"/>
          <w:bCs/>
        </w:rPr>
        <w:t>BV</w:t>
      </w:r>
      <w:r w:rsidR="007F7962">
        <w:rPr>
          <w:rFonts w:ascii="Arial" w:hAnsi="Arial" w:cs="Arial"/>
          <w:bCs/>
        </w:rPr>
        <w:t>42</w:t>
      </w:r>
    </w:p>
    <w:p w:rsidR="005F60EB" w:rsidRDefault="005F60EB">
      <w:pPr>
        <w:jc w:val="center"/>
        <w:rPr>
          <w:rFonts w:ascii="Arial" w:hAnsi="Arial" w:cs="Arial"/>
          <w:b/>
          <w:bCs/>
          <w:lang w:val="es-AR"/>
        </w:rPr>
      </w:pPr>
    </w:p>
    <w:p w:rsidR="005F60EB" w:rsidRDefault="00C22C4F">
      <w:pPr>
        <w:jc w:val="center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  <w:b/>
          <w:bCs/>
          <w:lang w:val="es-AR"/>
        </w:rPr>
        <w:t>Evaluación de la diversidad genética de la colección de olivo (INTA San Juan, Argentina) mediante marcadores morfológicos y microsatélites</w:t>
      </w:r>
    </w:p>
    <w:p w:rsidR="005F60EB" w:rsidRDefault="003834EA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Contreras C.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, , Gentili, L.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hd w:val="clear" w:color="auto" w:fill="FFFFFF"/>
        </w:rPr>
        <w:t>, Mariotti R.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, Cultrera N.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, Baldoni L.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3</w:t>
      </w:r>
      <w:r>
        <w:rPr>
          <w:rFonts w:ascii="Arial" w:hAnsi="Arial" w:cs="Arial"/>
          <w:color w:val="000000"/>
          <w:shd w:val="clear" w:color="auto" w:fill="FFFFFF"/>
        </w:rPr>
        <w:t>, Mousavi S.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4</w:t>
      </w:r>
      <w:r>
        <w:rPr>
          <w:rFonts w:ascii="Arial" w:hAnsi="Arial" w:cs="Arial"/>
          <w:color w:val="000000"/>
          <w:shd w:val="clear" w:color="auto" w:fill="FFFFFF"/>
        </w:rPr>
        <w:t>, Pierantozzi, P.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  <w:r>
        <w:rPr>
          <w:rFonts w:ascii="Arial" w:hAnsi="Arial" w:cs="Arial"/>
          <w:color w:val="000000"/>
          <w:shd w:val="clear" w:color="auto" w:fill="FFFFFF"/>
        </w:rPr>
        <w:t>, Maestri, D.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5</w:t>
      </w:r>
      <w:r>
        <w:rPr>
          <w:rFonts w:ascii="Arial" w:hAnsi="Arial" w:cs="Arial"/>
          <w:color w:val="000000"/>
          <w:shd w:val="clear" w:color="auto" w:fill="FFFFFF"/>
        </w:rPr>
        <w:t>, Torres M.</w:t>
      </w:r>
      <w:r>
        <w:rPr>
          <w:rFonts w:ascii="Arial" w:hAnsi="Arial" w:cs="Arial"/>
          <w:color w:val="000000"/>
          <w:shd w:val="clear" w:color="auto" w:fill="FFFFFF"/>
          <w:vertAlign w:val="superscript"/>
        </w:rPr>
        <w:t>1</w:t>
      </w:r>
    </w:p>
    <w:p w:rsidR="005F60EB" w:rsidRPr="00C22C4F" w:rsidRDefault="003834EA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es-AR"/>
        </w:rPr>
      </w:pPr>
      <w:r>
        <w:rPr>
          <w:rFonts w:ascii="Arial" w:hAnsi="Arial" w:cs="Arial"/>
          <w:color w:val="000000"/>
          <w:shd w:val="clear" w:color="auto" w:fill="FFFFFF"/>
          <w:lang w:val="es-AR"/>
        </w:rPr>
        <w:t>1</w:t>
      </w:r>
      <w:r w:rsidR="00C22C4F">
        <w:rPr>
          <w:rFonts w:ascii="Arial" w:hAnsi="Arial" w:cs="Arial"/>
          <w:color w:val="000000"/>
          <w:shd w:val="clear" w:color="auto" w:fill="FFFFFF"/>
          <w:lang w:val="es-AR"/>
        </w:rPr>
        <w:t>.</w:t>
      </w:r>
      <w:r>
        <w:rPr>
          <w:rFonts w:ascii="Arial" w:hAnsi="Arial" w:cs="Arial"/>
          <w:color w:val="000000"/>
          <w:shd w:val="clear" w:color="auto" w:fill="FFFFFF"/>
          <w:lang w:val="es-AR"/>
        </w:rPr>
        <w:t xml:space="preserve"> Instituto Nacional de Tecnología Agropecuaria, Estación Experimental Agropecuaria San Juan. Consejo Nacional de Investigaciones Científicas y Técnicas, San Juan, Argentina</w:t>
      </w:r>
      <w:r w:rsidR="00C22C4F">
        <w:rPr>
          <w:rFonts w:ascii="Arial" w:hAnsi="Arial" w:cs="Arial"/>
          <w:color w:val="000000"/>
          <w:shd w:val="clear" w:color="auto" w:fill="FFFFFF"/>
          <w:lang w:val="es-AR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es-AR"/>
        </w:rPr>
        <w:t>2</w:t>
      </w:r>
      <w:r w:rsidR="00C22C4F">
        <w:rPr>
          <w:rFonts w:ascii="Arial" w:hAnsi="Arial" w:cs="Arial"/>
          <w:color w:val="000000"/>
          <w:shd w:val="clear" w:color="auto" w:fill="FFFFFF"/>
          <w:lang w:val="es-AR"/>
        </w:rPr>
        <w:t>.</w:t>
      </w:r>
      <w:r>
        <w:rPr>
          <w:rFonts w:ascii="Arial" w:hAnsi="Arial" w:cs="Arial"/>
          <w:color w:val="000000"/>
          <w:shd w:val="clear" w:color="auto" w:fill="FFFFFF"/>
          <w:lang w:val="es-AR"/>
        </w:rPr>
        <w:t xml:space="preserve"> Universidad Nacional de San Juan, Argentina</w:t>
      </w:r>
      <w:r w:rsidR="00C22C4F">
        <w:rPr>
          <w:rFonts w:ascii="Arial" w:hAnsi="Arial" w:cs="Arial"/>
          <w:color w:val="000000"/>
          <w:shd w:val="clear" w:color="auto" w:fill="FFFFFF"/>
          <w:lang w:val="es-AR"/>
        </w:rPr>
        <w:t xml:space="preserve">. </w:t>
      </w:r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>3</w:t>
      </w:r>
      <w:r w:rsidR="00C22C4F" w:rsidRPr="00C22C4F">
        <w:rPr>
          <w:rFonts w:ascii="Arial" w:hAnsi="Arial" w:cs="Arial"/>
          <w:color w:val="000000"/>
          <w:shd w:val="clear" w:color="auto" w:fill="FFFFFF"/>
          <w:lang w:val="es-AR"/>
        </w:rPr>
        <w:t>.</w:t>
      </w:r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 xml:space="preserve"> CNR – </w:t>
      </w:r>
      <w:proofErr w:type="spellStart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>Institute</w:t>
      </w:r>
      <w:proofErr w:type="spellEnd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 xml:space="preserve"> of </w:t>
      </w:r>
      <w:proofErr w:type="spellStart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>Biosciences</w:t>
      </w:r>
      <w:proofErr w:type="spellEnd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 xml:space="preserve"> and </w:t>
      </w:r>
      <w:proofErr w:type="spellStart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>Bioresources</w:t>
      </w:r>
      <w:proofErr w:type="spellEnd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 xml:space="preserve">, Perugia, </w:t>
      </w:r>
      <w:proofErr w:type="spellStart"/>
      <w:r w:rsidRPr="00C22C4F">
        <w:rPr>
          <w:rFonts w:ascii="Arial" w:hAnsi="Arial" w:cs="Arial"/>
          <w:color w:val="000000"/>
          <w:shd w:val="clear" w:color="auto" w:fill="FFFFFF"/>
          <w:lang w:val="es-AR"/>
        </w:rPr>
        <w:t>Italy</w:t>
      </w:r>
      <w:proofErr w:type="spellEnd"/>
      <w:r w:rsidR="00C22C4F">
        <w:rPr>
          <w:rFonts w:ascii="Arial" w:hAnsi="Arial" w:cs="Arial"/>
          <w:color w:val="000000"/>
          <w:shd w:val="clear" w:color="auto" w:fill="FFFFFF"/>
          <w:lang w:val="es-AR"/>
        </w:rPr>
        <w:t>.</w:t>
      </w:r>
    </w:p>
    <w:p w:rsidR="005F60EB" w:rsidRDefault="003834EA">
      <w:pPr>
        <w:spacing w:after="0"/>
        <w:jc w:val="both"/>
        <w:rPr>
          <w:rFonts w:ascii="Arial" w:hAnsi="Arial" w:cs="Arial"/>
          <w:color w:val="000000"/>
          <w:shd w:val="clear" w:color="auto" w:fill="FFFFFF"/>
          <w:lang w:val="es-AR"/>
        </w:rPr>
      </w:pPr>
      <w:r w:rsidRPr="00C22C4F">
        <w:rPr>
          <w:rFonts w:ascii="Arial" w:hAnsi="Arial" w:cs="Arial"/>
          <w:color w:val="000000"/>
          <w:shd w:val="clear" w:color="auto" w:fill="FFFFFF"/>
          <w:lang w:val="en-US"/>
        </w:rPr>
        <w:t>4</w:t>
      </w:r>
      <w:r w:rsidR="00C22C4F" w:rsidRPr="00C22C4F">
        <w:rPr>
          <w:rFonts w:ascii="Arial" w:hAnsi="Arial" w:cs="Arial"/>
          <w:color w:val="000000"/>
          <w:shd w:val="clear" w:color="auto" w:fill="FFFFFF"/>
          <w:lang w:val="en-US"/>
        </w:rPr>
        <w:t>.</w:t>
      </w:r>
      <w:r w:rsidRPr="00C22C4F">
        <w:rPr>
          <w:rFonts w:ascii="Arial" w:hAnsi="Arial" w:cs="Arial"/>
          <w:color w:val="000000"/>
          <w:shd w:val="clear" w:color="auto" w:fill="FFFFFF"/>
          <w:lang w:val="en-US"/>
        </w:rPr>
        <w:t xml:space="preserve"> CNR – Institute for Agricultural and Forest Systems in the Mediterranean, Perugia, Italy</w:t>
      </w:r>
      <w:r w:rsidR="00C22C4F">
        <w:rPr>
          <w:rFonts w:ascii="Arial" w:hAnsi="Arial" w:cs="Arial"/>
          <w:color w:val="000000"/>
          <w:shd w:val="clear" w:color="auto" w:fill="FFFFFF"/>
          <w:lang w:val="en-US"/>
        </w:rPr>
        <w:t xml:space="preserve">. </w:t>
      </w:r>
      <w:r>
        <w:rPr>
          <w:rFonts w:ascii="Arial" w:hAnsi="Arial" w:cs="Arial"/>
          <w:color w:val="000000"/>
          <w:shd w:val="clear" w:color="auto" w:fill="FFFFFF"/>
          <w:lang w:val="es-AR"/>
        </w:rPr>
        <w:t>5</w:t>
      </w:r>
      <w:r w:rsidR="00C22C4F">
        <w:rPr>
          <w:rFonts w:ascii="Arial" w:hAnsi="Arial" w:cs="Arial"/>
          <w:color w:val="000000"/>
          <w:shd w:val="clear" w:color="auto" w:fill="FFFFFF"/>
          <w:lang w:val="es-AR"/>
        </w:rPr>
        <w:t>.</w:t>
      </w:r>
      <w:r>
        <w:rPr>
          <w:rFonts w:ascii="Arial" w:hAnsi="Arial" w:cs="Arial"/>
          <w:color w:val="000000"/>
          <w:shd w:val="clear" w:color="auto" w:fill="FFFFFF"/>
          <w:lang w:val="es-AR"/>
        </w:rPr>
        <w:t xml:space="preserve"> Instituto Multidisciplinario de Biología Vegetal – Consejo Nacional de Investigaciones Científicas y Técnicas – Universidad Nacional de Córdoba, Córdoba, Argentina</w:t>
      </w:r>
    </w:p>
    <w:p w:rsidR="005F60EB" w:rsidRPr="008F3F2A" w:rsidRDefault="003834EA" w:rsidP="003834EA">
      <w:pPr>
        <w:rPr>
          <w:rFonts w:ascii="Arial" w:hAnsi="Arial" w:cs="Arial"/>
          <w:lang w:val="en-US" w:eastAsia="zh-CN"/>
        </w:rPr>
      </w:pPr>
      <w:r w:rsidRPr="008F3F2A">
        <w:rPr>
          <w:rFonts w:ascii="Arial" w:hAnsi="Arial" w:cs="Arial"/>
          <w:bCs/>
          <w:lang w:val="en-US"/>
        </w:rPr>
        <w:t>Email:</w:t>
      </w:r>
      <w:r w:rsidRPr="008F3F2A">
        <w:rPr>
          <w:rFonts w:ascii="Arial" w:hAnsi="Arial" w:cs="Arial"/>
          <w:lang w:val="en-US" w:eastAsia="zh-CN"/>
        </w:rPr>
        <w:t xml:space="preserve"> contreras.cibeles@inta.gob.ar </w:t>
      </w:r>
    </w:p>
    <w:p w:rsidR="005F60EB" w:rsidRDefault="003834EA" w:rsidP="00C22C4F">
      <w:pPr>
        <w:spacing w:after="0" w:line="240" w:lineRule="auto"/>
        <w:jc w:val="both"/>
        <w:rPr>
          <w:rFonts w:ascii="Arial" w:hAnsi="Arial" w:cs="Arial"/>
          <w:lang w:val="zh-CN"/>
        </w:rPr>
      </w:pPr>
      <w:r>
        <w:rPr>
          <w:rFonts w:ascii="Arial" w:hAnsi="Arial" w:cs="Arial"/>
          <w:lang w:val="es-AR" w:eastAsia="zh-CN"/>
        </w:rPr>
        <w:t>E</w:t>
      </w:r>
      <w:r>
        <w:rPr>
          <w:rFonts w:ascii="Arial" w:hAnsi="Arial" w:cs="Arial"/>
          <w:lang w:val="zh-CN" w:eastAsia="zh-CN"/>
        </w:rPr>
        <w:t>n Argentina</w:t>
      </w:r>
      <w:r>
        <w:rPr>
          <w:rFonts w:ascii="Arial" w:hAnsi="Arial" w:cs="Arial"/>
          <w:lang w:val="es-AR" w:eastAsia="zh-CN"/>
        </w:rPr>
        <w:t>,</w:t>
      </w:r>
      <w:r>
        <w:rPr>
          <w:rFonts w:ascii="Arial" w:hAnsi="Arial" w:cs="Arial"/>
          <w:lang w:val="zh-CN" w:eastAsia="zh-CN"/>
        </w:rPr>
        <w:t xml:space="preserve"> al igual que en otros pa</w:t>
      </w:r>
      <w:r>
        <w:rPr>
          <w:rFonts w:ascii="Arial" w:hAnsi="Arial" w:cs="Arial"/>
          <w:lang w:val="es-AR" w:eastAsia="zh-CN"/>
        </w:rPr>
        <w:t>í</w:t>
      </w:r>
      <w:r>
        <w:rPr>
          <w:rFonts w:ascii="Arial" w:hAnsi="Arial" w:cs="Arial"/>
          <w:lang w:val="zh-CN" w:eastAsia="zh-CN"/>
        </w:rPr>
        <w:t>ses del mundo</w:t>
      </w:r>
      <w:r>
        <w:rPr>
          <w:rFonts w:ascii="Arial" w:hAnsi="Arial" w:cs="Arial"/>
          <w:lang w:val="es-AR" w:eastAsia="zh-CN"/>
        </w:rPr>
        <w:t>,</w:t>
      </w:r>
      <w:r>
        <w:rPr>
          <w:rFonts w:ascii="Arial" w:hAnsi="Arial" w:cs="Arial"/>
          <w:lang w:val="zh-CN" w:eastAsia="zh-CN"/>
        </w:rPr>
        <w:t xml:space="preserve"> existe </w:t>
      </w:r>
      <w:r>
        <w:rPr>
          <w:rFonts w:ascii="Arial" w:hAnsi="Arial" w:cs="Arial"/>
          <w:lang w:val="es-AR" w:eastAsia="zh-CN"/>
        </w:rPr>
        <w:t xml:space="preserve">un extenso </w:t>
      </w:r>
      <w:r>
        <w:rPr>
          <w:rFonts w:ascii="Arial" w:hAnsi="Arial" w:cs="Arial"/>
          <w:lang w:val="zh-CN" w:eastAsia="zh-CN"/>
        </w:rPr>
        <w:t>material genético</w:t>
      </w:r>
      <w:r>
        <w:rPr>
          <w:rFonts w:ascii="Arial" w:hAnsi="Arial" w:cs="Arial"/>
          <w:lang w:val="es-AR" w:eastAsia="zh-CN"/>
        </w:rPr>
        <w:t xml:space="preserve"> de olivo </w:t>
      </w:r>
      <w:r>
        <w:rPr>
          <w:rFonts w:ascii="Arial" w:hAnsi="Arial" w:cs="Arial"/>
          <w:lang w:val="zh-CN" w:eastAsia="zh-CN"/>
        </w:rPr>
        <w:t>(</w:t>
      </w:r>
      <w:r>
        <w:rPr>
          <w:rFonts w:ascii="Arial" w:hAnsi="Arial" w:cs="Arial"/>
          <w:i/>
          <w:lang w:val="zh-CN" w:eastAsia="zh-CN"/>
        </w:rPr>
        <w:t>Olea europaea</w:t>
      </w:r>
      <w:r>
        <w:rPr>
          <w:rFonts w:ascii="Arial" w:hAnsi="Arial" w:cs="Arial"/>
          <w:lang w:val="zh-CN" w:eastAsia="zh-CN"/>
        </w:rPr>
        <w:t xml:space="preserve"> L.) </w:t>
      </w:r>
      <w:r>
        <w:rPr>
          <w:rFonts w:ascii="Arial" w:hAnsi="Arial" w:cs="Arial"/>
          <w:lang w:val="es-AR" w:eastAsia="zh-CN"/>
        </w:rPr>
        <w:t>con</w:t>
      </w:r>
      <w:r>
        <w:rPr>
          <w:rFonts w:ascii="Arial" w:hAnsi="Arial" w:cs="Arial"/>
          <w:lang w:val="zh-CN" w:eastAsia="zh-CN"/>
        </w:rPr>
        <w:t xml:space="preserve"> alto valor agronómico</w:t>
      </w:r>
      <w:r>
        <w:rPr>
          <w:rFonts w:ascii="Arial" w:hAnsi="Arial" w:cs="Arial"/>
          <w:lang w:val="es-AR" w:eastAsia="zh-CN"/>
        </w:rPr>
        <w:t xml:space="preserve"> que aún no ha sido identificado.</w:t>
      </w:r>
      <w:r>
        <w:rPr>
          <w:rFonts w:ascii="Arial" w:hAnsi="Arial" w:cs="Arial"/>
          <w:lang w:val="zh-CN" w:eastAsia="zh-CN"/>
        </w:rPr>
        <w:t xml:space="preserve"> </w:t>
      </w:r>
      <w:r>
        <w:rPr>
          <w:rFonts w:ascii="Arial" w:hAnsi="Arial" w:cs="Arial"/>
          <w:lang w:val="es-AR" w:eastAsia="zh-CN"/>
        </w:rPr>
        <w:t xml:space="preserve">Conocer la </w:t>
      </w:r>
      <w:r>
        <w:rPr>
          <w:rFonts w:ascii="Arial" w:hAnsi="Arial" w:cs="Arial"/>
          <w:lang w:val="zh-CN" w:eastAsia="zh-CN"/>
        </w:rPr>
        <w:t xml:space="preserve">variabilidad genética </w:t>
      </w:r>
      <w:r>
        <w:rPr>
          <w:rFonts w:ascii="Arial" w:hAnsi="Arial" w:cs="Arial"/>
          <w:lang w:val="es-AR" w:eastAsia="zh-CN"/>
        </w:rPr>
        <w:t xml:space="preserve">de esta especie </w:t>
      </w:r>
      <w:r>
        <w:rPr>
          <w:rFonts w:ascii="Arial" w:hAnsi="Arial" w:cs="Arial"/>
          <w:lang w:val="zh-CN" w:eastAsia="zh-CN"/>
        </w:rPr>
        <w:t>es importante para</w:t>
      </w:r>
      <w:r>
        <w:rPr>
          <w:rFonts w:ascii="Arial" w:hAnsi="Arial" w:cs="Arial"/>
          <w:lang w:val="es-AR" w:eastAsia="zh-CN"/>
        </w:rPr>
        <w:t xml:space="preserve"> </w:t>
      </w:r>
      <w:r>
        <w:rPr>
          <w:rFonts w:ascii="Arial" w:hAnsi="Arial" w:cs="Arial"/>
          <w:lang w:val="zh-CN" w:eastAsia="zh-CN"/>
        </w:rPr>
        <w:t>el diseño de programas de fitomejoramiento</w:t>
      </w:r>
      <w:r>
        <w:rPr>
          <w:rFonts w:ascii="Arial" w:hAnsi="Arial" w:cs="Arial"/>
          <w:lang w:val="es-AR" w:eastAsia="zh-CN"/>
        </w:rPr>
        <w:t>, como así también para la conservación del material vegetal y</w:t>
      </w:r>
      <w:r>
        <w:rPr>
          <w:rFonts w:ascii="Arial" w:hAnsi="Arial" w:cs="Arial"/>
          <w:lang w:val="zh-CN"/>
        </w:rPr>
        <w:t xml:space="preserve"> para la autentificación varietal de plantas de vivero.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zh-CN" w:eastAsia="zh-CN"/>
        </w:rPr>
        <w:t>E</w:t>
      </w:r>
      <w:r>
        <w:rPr>
          <w:rFonts w:ascii="Arial" w:hAnsi="Arial" w:cs="Arial"/>
          <w:lang w:val="es-AR" w:eastAsia="zh-CN"/>
        </w:rPr>
        <w:t xml:space="preserve">l presente trabajo se realizó en el </w:t>
      </w:r>
      <w:r>
        <w:rPr>
          <w:rFonts w:ascii="Arial" w:hAnsi="Arial" w:cs="Arial"/>
          <w:lang w:val="zh-CN"/>
        </w:rPr>
        <w:t>Campo Anexo San Martín</w:t>
      </w:r>
      <w:r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zh-CN"/>
        </w:rPr>
        <w:t xml:space="preserve"> INTA-EEA-San Juan</w:t>
      </w:r>
      <w:r>
        <w:rPr>
          <w:rFonts w:ascii="Arial" w:hAnsi="Arial" w:cs="Arial"/>
          <w:lang w:val="es-AR"/>
        </w:rPr>
        <w:t xml:space="preserve">, Argentina el cual </w:t>
      </w:r>
      <w:r>
        <w:rPr>
          <w:rFonts w:ascii="Arial" w:hAnsi="Arial" w:cs="Arial"/>
          <w:lang w:val="zh-CN"/>
        </w:rPr>
        <w:t>posee un Banco de Germoplasma de 38 cultivares de olivo</w:t>
      </w:r>
      <w:r>
        <w:rPr>
          <w:rFonts w:ascii="Arial" w:hAnsi="Arial" w:cs="Arial"/>
          <w:lang w:val="es-AR"/>
        </w:rPr>
        <w:t>. El mismo fue</w:t>
      </w:r>
      <w:r>
        <w:rPr>
          <w:rFonts w:ascii="Arial" w:hAnsi="Arial" w:cs="Arial"/>
          <w:lang w:val="zh-CN"/>
        </w:rPr>
        <w:t xml:space="preserve"> cread</w:t>
      </w:r>
      <w:r>
        <w:rPr>
          <w:rFonts w:ascii="Arial" w:hAnsi="Arial" w:cs="Arial"/>
          <w:lang w:val="es-AR"/>
        </w:rPr>
        <w:t>o</w:t>
      </w:r>
      <w:r>
        <w:rPr>
          <w:rFonts w:ascii="Arial" w:hAnsi="Arial" w:cs="Arial"/>
          <w:lang w:val="zh-CN"/>
        </w:rPr>
        <w:t xml:space="preserve"> por la Corporación Nacional de Olivicultura a fines de la década del ‟50</w:t>
      </w:r>
      <w:r>
        <w:rPr>
          <w:rFonts w:ascii="Arial" w:hAnsi="Arial" w:cs="Arial"/>
          <w:lang w:val="es-AR"/>
        </w:rPr>
        <w:t xml:space="preserve"> con el objetivo fundamental de llevar a cabo tareas de experimentación e investigación tendientes a analizar la aptitud ecológica-económica de las distintas zonas olivícolas para determinar la ampliación o limitación de la superficie de cultivo a nivel nacional</w:t>
      </w:r>
      <w:r>
        <w:rPr>
          <w:rFonts w:ascii="Arial" w:hAnsi="Arial" w:cs="Arial"/>
          <w:lang w:val="zh-CN"/>
        </w:rPr>
        <w:t>.</w:t>
      </w:r>
    </w:p>
    <w:p w:rsidR="005F60EB" w:rsidRDefault="003834EA" w:rsidP="00C22C4F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Se llevó a cabo la caracterización morfológica y molecular de los cultivares identificados como: </w:t>
      </w:r>
      <w:r>
        <w:rPr>
          <w:rFonts w:ascii="Arial" w:hAnsi="Arial" w:cs="Arial"/>
          <w:lang w:val="zh-CN"/>
        </w:rPr>
        <w:t>‘Arbequina’, ‘Empeltre’,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zh-CN"/>
        </w:rPr>
        <w:t>‘Leccino’, ‘Maurino’, ‘Grappollo’, ‘Manzanilla’, ‘Dritta’,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zh-CN"/>
        </w:rPr>
        <w:t>‘Blanqueta’,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zh-CN"/>
        </w:rPr>
        <w:t>‘Carboncella’, ‘Frantoio’, ‘Racimal’</w:t>
      </w:r>
      <w:r>
        <w:rPr>
          <w:rFonts w:ascii="Arial" w:hAnsi="Arial" w:cs="Arial"/>
          <w:lang w:val="es-AR"/>
        </w:rPr>
        <w:t xml:space="preserve"> y </w:t>
      </w:r>
      <w:r>
        <w:rPr>
          <w:rFonts w:ascii="Arial" w:hAnsi="Arial" w:cs="Arial"/>
          <w:lang w:val="zh-CN"/>
        </w:rPr>
        <w:t>‘Cornicabra’</w:t>
      </w:r>
      <w:r>
        <w:rPr>
          <w:rFonts w:ascii="Arial" w:hAnsi="Arial" w:cs="Arial"/>
          <w:lang w:val="es-AR"/>
        </w:rPr>
        <w:t xml:space="preserve"> destinados principalmente a la producción de aceite. Por una parte, se utilizaron las siguientes variables </w:t>
      </w:r>
      <w:proofErr w:type="spellStart"/>
      <w:r>
        <w:rPr>
          <w:rFonts w:ascii="Arial" w:hAnsi="Arial" w:cs="Arial"/>
          <w:lang w:val="es-AR"/>
        </w:rPr>
        <w:t>morfométricas</w:t>
      </w:r>
      <w:proofErr w:type="spellEnd"/>
      <w:r>
        <w:rPr>
          <w:rFonts w:ascii="Arial" w:hAnsi="Arial" w:cs="Arial"/>
          <w:lang w:val="es-AR"/>
        </w:rPr>
        <w:t xml:space="preserve">: </w:t>
      </w:r>
      <w:r>
        <w:rPr>
          <w:rFonts w:ascii="Arial" w:hAnsi="Arial" w:cs="Arial"/>
          <w:lang w:val="zh-CN"/>
        </w:rPr>
        <w:t>peso de fruto, forma del fruto, forma del ápice del fruto, forma de la base del fruto, peso del hueso</w:t>
      </w:r>
      <w:r>
        <w:rPr>
          <w:rFonts w:ascii="Arial" w:hAnsi="Arial" w:cs="Arial"/>
          <w:lang w:val="es-AR"/>
        </w:rPr>
        <w:t xml:space="preserve"> y</w:t>
      </w:r>
      <w:r>
        <w:rPr>
          <w:rFonts w:ascii="Arial" w:hAnsi="Arial" w:cs="Arial"/>
          <w:lang w:val="zh-CN"/>
        </w:rPr>
        <w:t xml:space="preserve"> simetría de la fruta</w:t>
      </w:r>
      <w:r>
        <w:rPr>
          <w:rFonts w:ascii="Arial" w:hAnsi="Arial" w:cs="Arial"/>
          <w:lang w:val="es-AR"/>
        </w:rPr>
        <w:t xml:space="preserve"> como descriptores morfológicos;</w:t>
      </w:r>
      <w:r>
        <w:rPr>
          <w:rFonts w:ascii="Arial" w:hAnsi="Arial" w:cs="Arial"/>
          <w:lang w:val="zh-CN"/>
        </w:rPr>
        <w:t xml:space="preserve"> </w:t>
      </w:r>
      <w:r>
        <w:rPr>
          <w:rFonts w:ascii="Arial" w:hAnsi="Arial" w:cs="Arial"/>
          <w:lang w:val="es-AR"/>
        </w:rPr>
        <w:t>mientras que para la caracterización molecular se emplearon los microsatélites (</w:t>
      </w:r>
      <w:proofErr w:type="spellStart"/>
      <w:r>
        <w:rPr>
          <w:rFonts w:ascii="Arial" w:hAnsi="Arial" w:cs="Arial"/>
          <w:lang w:val="es-AR"/>
        </w:rPr>
        <w:t>SSRs</w:t>
      </w:r>
      <w:proofErr w:type="spellEnd"/>
      <w:r>
        <w:rPr>
          <w:rFonts w:ascii="Arial" w:hAnsi="Arial" w:cs="Arial"/>
          <w:lang w:val="es-AR"/>
        </w:rPr>
        <w:t xml:space="preserve">) </w:t>
      </w:r>
      <w:r>
        <w:rPr>
          <w:rFonts w:ascii="Arial" w:hAnsi="Arial" w:cs="Arial"/>
          <w:lang w:val="zh-CN"/>
        </w:rPr>
        <w:t>UDO-43, DCA-09, GAPU-103, DCA-18, DCA-16</w:t>
      </w:r>
      <w:r>
        <w:rPr>
          <w:rFonts w:ascii="Arial" w:hAnsi="Arial" w:cs="Arial"/>
          <w:lang w:val="es-AR"/>
        </w:rPr>
        <w:t xml:space="preserve"> y</w:t>
      </w:r>
      <w:r>
        <w:rPr>
          <w:rFonts w:ascii="Arial" w:hAnsi="Arial" w:cs="Arial"/>
          <w:lang w:val="zh-CN"/>
        </w:rPr>
        <w:t xml:space="preserve"> GAPU 101</w:t>
      </w:r>
      <w:r>
        <w:rPr>
          <w:rFonts w:ascii="Arial" w:hAnsi="Arial" w:cs="Arial"/>
          <w:lang w:val="es-AR"/>
        </w:rPr>
        <w:t>, los cuales representan actualmente los más apropiados para la discriminación de los cultivares.</w:t>
      </w:r>
      <w:r>
        <w:rPr>
          <w:rFonts w:ascii="Arial" w:hAnsi="Arial" w:cs="Arial"/>
          <w:lang w:val="zh-CN"/>
        </w:rPr>
        <w:t xml:space="preserve"> El ADN total </w:t>
      </w:r>
      <w:r>
        <w:rPr>
          <w:rFonts w:ascii="Arial" w:hAnsi="Arial" w:cs="Arial"/>
          <w:lang w:val="es-AR"/>
        </w:rPr>
        <w:t>se extraj</w:t>
      </w:r>
      <w:r w:rsidR="003572B5">
        <w:rPr>
          <w:rFonts w:ascii="Arial" w:hAnsi="Arial" w:cs="Arial"/>
          <w:lang w:val="es-AR"/>
        </w:rPr>
        <w:t>o</w:t>
      </w:r>
      <w:r>
        <w:rPr>
          <w:rFonts w:ascii="Arial" w:hAnsi="Arial" w:cs="Arial"/>
          <w:lang w:val="zh-CN"/>
        </w:rPr>
        <w:t xml:space="preserve"> </w:t>
      </w:r>
      <w:r>
        <w:rPr>
          <w:rFonts w:ascii="Arial" w:hAnsi="Arial" w:cs="Arial"/>
          <w:lang w:val="es-AR"/>
        </w:rPr>
        <w:t xml:space="preserve">a partir de </w:t>
      </w:r>
      <w:r>
        <w:rPr>
          <w:rFonts w:ascii="Arial" w:hAnsi="Arial" w:cs="Arial"/>
          <w:lang w:val="zh-CN"/>
        </w:rPr>
        <w:t xml:space="preserve">hojas </w:t>
      </w:r>
      <w:r>
        <w:rPr>
          <w:rFonts w:ascii="Arial" w:hAnsi="Arial" w:cs="Arial"/>
          <w:lang w:val="es-AR"/>
        </w:rPr>
        <w:t xml:space="preserve">jóvenes </w:t>
      </w:r>
      <w:r>
        <w:rPr>
          <w:rFonts w:ascii="Arial" w:hAnsi="Arial" w:cs="Arial"/>
          <w:lang w:val="zh-CN"/>
        </w:rPr>
        <w:t xml:space="preserve">utilizando </w:t>
      </w:r>
      <w:r>
        <w:rPr>
          <w:rFonts w:ascii="Arial" w:hAnsi="Arial" w:cs="Arial"/>
          <w:lang w:val="es-AR"/>
        </w:rPr>
        <w:t xml:space="preserve">el kit </w:t>
      </w:r>
      <w:r>
        <w:rPr>
          <w:rFonts w:ascii="Arial" w:hAnsi="Arial" w:cs="Arial"/>
          <w:lang w:val="zh-CN"/>
        </w:rPr>
        <w:t>GeneElute Plant Genomic DNA Miniprep Kit (SIGMA)</w:t>
      </w:r>
      <w:r>
        <w:rPr>
          <w:rFonts w:ascii="Arial" w:hAnsi="Arial" w:cs="Arial"/>
          <w:lang w:val="es-AR"/>
        </w:rPr>
        <w:t xml:space="preserve"> de acuerdo con las instrucciones del fabricante. Su </w:t>
      </w:r>
      <w:r>
        <w:rPr>
          <w:rFonts w:ascii="Arial" w:hAnsi="Arial" w:cs="Arial"/>
          <w:lang w:val="zh-CN"/>
        </w:rPr>
        <w:t>calidad fue verificada mediante cuantificación de DNA por Nanodrop.</w:t>
      </w:r>
      <w:r>
        <w:rPr>
          <w:rFonts w:ascii="Arial" w:hAnsi="Arial" w:cs="Arial"/>
          <w:lang w:val="es-AR"/>
        </w:rPr>
        <w:t xml:space="preserve"> Posteriormente se llevó a cabo la amplificación mediante PCR (Reacción en Cadena de la Polimerasa) </w:t>
      </w:r>
      <w:r>
        <w:rPr>
          <w:rFonts w:ascii="Arial" w:hAnsi="Arial" w:cs="Arial"/>
          <w:lang w:val="zh-CN"/>
        </w:rPr>
        <w:t xml:space="preserve">utilizando </w:t>
      </w:r>
      <w:r>
        <w:rPr>
          <w:rFonts w:ascii="Arial" w:hAnsi="Arial" w:cs="Arial"/>
          <w:lang w:val="es-AR"/>
        </w:rPr>
        <w:t xml:space="preserve">los microsatélites mencionados. </w:t>
      </w:r>
      <w:r>
        <w:rPr>
          <w:rFonts w:ascii="Arial" w:hAnsi="Arial" w:cs="Arial"/>
          <w:lang w:val="zh-CN"/>
        </w:rPr>
        <w:t>Los datos morfólogicos obtenidos fueron comparados con la base de datos “OLEA databases”, mientras que los moleculares con la base de datos del Instituto CNR-IBBR (Perugia, Italia).</w:t>
      </w:r>
      <w:r>
        <w:rPr>
          <w:rFonts w:ascii="Arial" w:hAnsi="Arial" w:cs="Arial"/>
          <w:lang w:val="es-AR"/>
        </w:rPr>
        <w:t xml:space="preserve"> </w:t>
      </w:r>
    </w:p>
    <w:p w:rsidR="005F60EB" w:rsidRDefault="003834EA" w:rsidP="00C22C4F">
      <w:pPr>
        <w:spacing w:after="0" w:line="24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zh-CN"/>
        </w:rPr>
        <w:t xml:space="preserve">Los resultados </w:t>
      </w:r>
      <w:r>
        <w:rPr>
          <w:rFonts w:ascii="Arial" w:hAnsi="Arial" w:cs="Arial"/>
          <w:lang w:val="es-AR"/>
        </w:rPr>
        <w:t xml:space="preserve">(morfológicos y moleculares) </w:t>
      </w:r>
      <w:r>
        <w:rPr>
          <w:rFonts w:ascii="Arial" w:hAnsi="Arial" w:cs="Arial"/>
          <w:lang w:val="zh-CN"/>
        </w:rPr>
        <w:t>indicaron una correcta identificación de los cultivares ‘Arbequina’</w:t>
      </w:r>
      <w:r>
        <w:rPr>
          <w:rFonts w:ascii="Arial" w:hAnsi="Arial" w:cs="Arial"/>
          <w:lang w:val="es-AR"/>
        </w:rPr>
        <w:t xml:space="preserve">, ‘Blanqueta’, </w:t>
      </w:r>
      <w:r>
        <w:rPr>
          <w:rFonts w:ascii="Arial" w:hAnsi="Arial" w:cs="Arial"/>
          <w:lang w:val="zh-CN"/>
        </w:rPr>
        <w:t>‘</w:t>
      </w:r>
      <w:r>
        <w:rPr>
          <w:rFonts w:ascii="Arial" w:hAnsi="Arial" w:cs="Arial"/>
          <w:lang w:val="es-AR"/>
        </w:rPr>
        <w:t>Empeltre</w:t>
      </w:r>
      <w:r>
        <w:rPr>
          <w:rFonts w:ascii="Arial" w:hAnsi="Arial" w:cs="Arial"/>
          <w:lang w:val="zh-CN"/>
        </w:rPr>
        <w:t>’,</w:t>
      </w:r>
      <w:r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zh-CN"/>
        </w:rPr>
        <w:t>‘</w:t>
      </w:r>
      <w:proofErr w:type="spellStart"/>
      <w:r>
        <w:rPr>
          <w:rFonts w:ascii="Arial" w:hAnsi="Arial" w:cs="Arial"/>
          <w:lang w:val="es-AR"/>
        </w:rPr>
        <w:t>Leccino</w:t>
      </w:r>
      <w:proofErr w:type="spellEnd"/>
      <w:r>
        <w:rPr>
          <w:rFonts w:ascii="Arial" w:hAnsi="Arial" w:cs="Arial"/>
          <w:lang w:val="zh-CN"/>
        </w:rPr>
        <w:t>’</w:t>
      </w:r>
      <w:r>
        <w:rPr>
          <w:rFonts w:ascii="Arial" w:hAnsi="Arial" w:cs="Arial"/>
          <w:lang w:val="es-AR"/>
        </w:rPr>
        <w:t xml:space="preserve"> y </w:t>
      </w:r>
      <w:r>
        <w:rPr>
          <w:rFonts w:ascii="Arial" w:hAnsi="Arial" w:cs="Arial"/>
          <w:lang w:val="zh-CN"/>
        </w:rPr>
        <w:t>‘</w:t>
      </w:r>
      <w:proofErr w:type="spellStart"/>
      <w:r>
        <w:rPr>
          <w:rFonts w:ascii="Arial" w:hAnsi="Arial" w:cs="Arial"/>
          <w:lang w:val="es-AR"/>
        </w:rPr>
        <w:t>Maurino</w:t>
      </w:r>
      <w:proofErr w:type="spellEnd"/>
      <w:r>
        <w:rPr>
          <w:rFonts w:ascii="Arial" w:hAnsi="Arial" w:cs="Arial"/>
          <w:lang w:val="zh-CN"/>
        </w:rPr>
        <w:t>’</w:t>
      </w:r>
      <w:r>
        <w:rPr>
          <w:rFonts w:ascii="Arial" w:hAnsi="Arial" w:cs="Arial"/>
          <w:lang w:val="es-AR"/>
        </w:rPr>
        <w:t xml:space="preserve">. Por otro lado, se comprobó que los restantes cultivares no estaban bien identificados, determinándose así las siguientes correspondencias: cv </w:t>
      </w:r>
      <w:proofErr w:type="spellStart"/>
      <w:r>
        <w:rPr>
          <w:rFonts w:ascii="Arial" w:hAnsi="Arial" w:cs="Arial"/>
          <w:lang w:val="es-AR"/>
        </w:rPr>
        <w:t>Grappollo</w:t>
      </w:r>
      <w:proofErr w:type="spellEnd"/>
      <w:r>
        <w:rPr>
          <w:rFonts w:ascii="Arial" w:hAnsi="Arial" w:cs="Arial"/>
          <w:lang w:val="es-AR"/>
        </w:rPr>
        <w:t xml:space="preserve"> con cv. </w:t>
      </w:r>
      <w:r>
        <w:rPr>
          <w:rFonts w:ascii="Arial" w:hAnsi="Arial" w:cs="Arial"/>
        </w:rPr>
        <w:t xml:space="preserve">Leccio del Corno; cv. Manzanilla con cv. Racioppa lucana; cv. Dritta con cv. Frantoio y cv. Carboncella con cv. Canino. </w:t>
      </w:r>
      <w:r>
        <w:rPr>
          <w:rFonts w:ascii="Arial" w:hAnsi="Arial" w:cs="Arial"/>
          <w:lang w:val="es-AR"/>
        </w:rPr>
        <w:t xml:space="preserve">Finalmente los </w:t>
      </w:r>
      <w:proofErr w:type="spellStart"/>
      <w:r>
        <w:rPr>
          <w:rFonts w:ascii="Arial" w:hAnsi="Arial" w:cs="Arial"/>
          <w:lang w:val="es-AR"/>
        </w:rPr>
        <w:t>cvs</w:t>
      </w:r>
      <w:proofErr w:type="spellEnd"/>
      <w:r>
        <w:rPr>
          <w:rFonts w:ascii="Arial" w:hAnsi="Arial" w:cs="Arial"/>
          <w:lang w:val="es-AR"/>
        </w:rPr>
        <w:t xml:space="preserve">. </w:t>
      </w:r>
      <w:proofErr w:type="spellStart"/>
      <w:r>
        <w:rPr>
          <w:rFonts w:ascii="Arial" w:hAnsi="Arial" w:cs="Arial"/>
          <w:lang w:val="es-AR"/>
        </w:rPr>
        <w:t>Frantoio</w:t>
      </w:r>
      <w:proofErr w:type="spellEnd"/>
      <w:r>
        <w:rPr>
          <w:rFonts w:ascii="Arial" w:hAnsi="Arial" w:cs="Arial"/>
          <w:lang w:val="es-AR"/>
        </w:rPr>
        <w:t xml:space="preserve">, Racimal y Cornicabra, </w:t>
      </w:r>
      <w:r>
        <w:rPr>
          <w:rFonts w:ascii="Arial" w:hAnsi="Arial" w:cs="Arial"/>
          <w:lang w:val="zh-CN"/>
        </w:rPr>
        <w:t>según los datos moleculares</w:t>
      </w:r>
      <w:r>
        <w:rPr>
          <w:rFonts w:ascii="Arial" w:hAnsi="Arial" w:cs="Arial"/>
          <w:lang w:val="es-AR"/>
        </w:rPr>
        <w:t>,</w:t>
      </w:r>
      <w:r>
        <w:rPr>
          <w:rFonts w:ascii="Arial" w:hAnsi="Arial" w:cs="Arial"/>
          <w:lang w:val="zh-CN"/>
        </w:rPr>
        <w:t xml:space="preserve"> no se correspond</w:t>
      </w:r>
      <w:r>
        <w:rPr>
          <w:rFonts w:ascii="Arial" w:hAnsi="Arial" w:cs="Arial"/>
          <w:lang w:val="es-AR"/>
        </w:rPr>
        <w:t>en</w:t>
      </w:r>
      <w:r>
        <w:rPr>
          <w:rFonts w:ascii="Arial" w:hAnsi="Arial" w:cs="Arial"/>
          <w:lang w:val="zh-CN"/>
        </w:rPr>
        <w:t xml:space="preserve"> con </w:t>
      </w:r>
      <w:r>
        <w:rPr>
          <w:rFonts w:ascii="Arial" w:hAnsi="Arial" w:cs="Arial"/>
          <w:lang w:val="es-AR"/>
        </w:rPr>
        <w:t xml:space="preserve">los </w:t>
      </w:r>
      <w:r>
        <w:rPr>
          <w:rFonts w:ascii="Arial" w:hAnsi="Arial" w:cs="Arial"/>
          <w:lang w:val="zh-CN"/>
        </w:rPr>
        <w:t>genotipo</w:t>
      </w:r>
      <w:r>
        <w:rPr>
          <w:rFonts w:ascii="Arial" w:hAnsi="Arial" w:cs="Arial"/>
          <w:lang w:val="es-AR"/>
        </w:rPr>
        <w:t>s</w:t>
      </w:r>
      <w:r>
        <w:rPr>
          <w:rFonts w:ascii="Arial" w:hAnsi="Arial" w:cs="Arial"/>
          <w:lang w:val="zh-CN"/>
        </w:rPr>
        <w:t xml:space="preserve"> de </w:t>
      </w:r>
      <w:r>
        <w:rPr>
          <w:rFonts w:ascii="Arial" w:hAnsi="Arial" w:cs="Arial"/>
          <w:lang w:val="es-AR"/>
        </w:rPr>
        <w:t>la base de datos de referencia</w:t>
      </w:r>
      <w:r>
        <w:rPr>
          <w:rFonts w:ascii="Arial" w:hAnsi="Arial" w:cs="Arial"/>
          <w:lang w:val="zh-CN"/>
        </w:rPr>
        <w:t xml:space="preserve">, mientras que el análisis morfológico concuerda con los datos de referencia para </w:t>
      </w:r>
      <w:r>
        <w:rPr>
          <w:rFonts w:ascii="Arial" w:hAnsi="Arial" w:cs="Arial"/>
          <w:lang w:val="es-AR"/>
        </w:rPr>
        <w:t>estos</w:t>
      </w:r>
      <w:r>
        <w:rPr>
          <w:rFonts w:ascii="Arial" w:hAnsi="Arial" w:cs="Arial"/>
          <w:lang w:val="zh-CN"/>
        </w:rPr>
        <w:t xml:space="preserve"> cultivar</w:t>
      </w:r>
      <w:r>
        <w:rPr>
          <w:rFonts w:ascii="Arial" w:hAnsi="Arial" w:cs="Arial"/>
          <w:lang w:val="es-AR"/>
        </w:rPr>
        <w:t>es</w:t>
      </w:r>
      <w:r>
        <w:rPr>
          <w:rFonts w:ascii="Arial" w:hAnsi="Arial" w:cs="Arial"/>
          <w:lang w:val="zh-CN"/>
        </w:rPr>
        <w:t xml:space="preserve">. </w:t>
      </w:r>
      <w:r>
        <w:rPr>
          <w:rFonts w:ascii="Arial" w:hAnsi="Arial" w:cs="Arial"/>
          <w:lang w:val="es-AR"/>
        </w:rPr>
        <w:t>En este último caso, es necesario ampliar el número de microsatélites e indicadores morfológicos con el fin de lograr la caracterización de tales accesiones.</w:t>
      </w:r>
    </w:p>
    <w:p w:rsidR="005F60EB" w:rsidRDefault="003834EA" w:rsidP="00C22C4F">
      <w:pPr>
        <w:spacing w:after="0" w:line="240" w:lineRule="auto"/>
        <w:jc w:val="both"/>
      </w:pPr>
      <w:r>
        <w:rPr>
          <w:rFonts w:ascii="Arial" w:hAnsi="Arial" w:cs="Arial"/>
          <w:lang w:val="es-AR"/>
        </w:rPr>
        <w:t>De esta manera, nuestros resultados contribuyen al conocimiento de la variabilidad genética en olivo, particularmente del material presente en la provincia de San Juan. Asimismo, se espera que el conocimiento y evaluación final de tal diversidad genética permita un manejo óptimo de la colección y la implementación de futuros programas de mejora genética en el cultivo.</w:t>
      </w:r>
    </w:p>
    <w:sectPr w:rsidR="005F60EB">
      <w:pgSz w:w="11906" w:h="16838"/>
      <w:pgMar w:top="1417" w:right="1134" w:bottom="1134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intia Vanesa Acuña">
    <w15:presenceInfo w15:providerId="AD" w15:userId="S-1-5-21-2424057592-3289560929-4194787221-168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trackRevisions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B7DD3"/>
    <w:rsid w:val="003572B5"/>
    <w:rsid w:val="003834EA"/>
    <w:rsid w:val="005F60EB"/>
    <w:rsid w:val="007F7962"/>
    <w:rsid w:val="008F3F2A"/>
    <w:rsid w:val="00C22C4F"/>
    <w:rsid w:val="72AB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3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572B5"/>
    <w:rPr>
      <w:rFonts w:ascii="Segoe UI" w:eastAsiaTheme="minorHAnsi" w:hAnsi="Segoe UI" w:cs="Segoe UI"/>
      <w:sz w:val="18"/>
      <w:szCs w:val="18"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Theme="minorHAnsi"/>
      <w:sz w:val="22"/>
      <w:szCs w:val="22"/>
      <w:lang w:val="it-I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semiHidden/>
    <w:unhideWhenUsed/>
    <w:rsid w:val="00357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3572B5"/>
    <w:rPr>
      <w:rFonts w:ascii="Segoe UI" w:eastAsiaTheme="minorHAnsi" w:hAnsi="Segoe UI" w:cs="Segoe UI"/>
      <w:sz w:val="18"/>
      <w:szCs w:val="18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Cibeles Contrera</dc:creator>
  <cp:lastModifiedBy>Alejandro Salvio Escandon</cp:lastModifiedBy>
  <cp:revision>2</cp:revision>
  <dcterms:created xsi:type="dcterms:W3CDTF">2017-08-14T16:47:00Z</dcterms:created>
  <dcterms:modified xsi:type="dcterms:W3CDTF">2017-08-14T16:47:00Z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