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E6" w:rsidRPr="006D18E6" w:rsidRDefault="006D18E6" w:rsidP="006D18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231F20"/>
        </w:rPr>
      </w:pPr>
      <w:r w:rsidRPr="006D18E6">
        <w:rPr>
          <w:rFonts w:ascii="Arial" w:hAnsi="Arial" w:cs="Arial"/>
          <w:bCs/>
          <w:color w:val="231F20"/>
        </w:rPr>
        <w:t>BV</w:t>
      </w:r>
      <w:r w:rsidR="00D943A0">
        <w:rPr>
          <w:rFonts w:ascii="Arial" w:hAnsi="Arial" w:cs="Arial"/>
          <w:bCs/>
          <w:color w:val="231F20"/>
        </w:rPr>
        <w:t>16</w:t>
      </w:r>
    </w:p>
    <w:p w:rsidR="006D18E6" w:rsidRDefault="006D18E6" w:rsidP="00180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</w:rPr>
      </w:pPr>
    </w:p>
    <w:p w:rsidR="005F7B66" w:rsidRPr="00180C99" w:rsidRDefault="00A117EC" w:rsidP="00180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</w:rPr>
      </w:pPr>
      <w:r w:rsidRPr="00180C99">
        <w:rPr>
          <w:rFonts w:ascii="Arial" w:hAnsi="Arial" w:cs="Arial"/>
          <w:b/>
          <w:bCs/>
          <w:color w:val="231F20"/>
        </w:rPr>
        <w:t xml:space="preserve">Efectos de la relación </w:t>
      </w:r>
      <w:r w:rsidRPr="00180C99">
        <w:rPr>
          <w:rFonts w:ascii="Arial" w:hAnsi="Arial" w:cs="Arial"/>
          <w:b/>
        </w:rPr>
        <w:t>NH</w:t>
      </w:r>
      <w:r w:rsidRPr="00180C99">
        <w:rPr>
          <w:rFonts w:ascii="Arial" w:hAnsi="Arial" w:cs="Arial"/>
          <w:b/>
          <w:vertAlign w:val="subscript"/>
        </w:rPr>
        <w:t>4</w:t>
      </w:r>
      <w:r w:rsidR="002D32BC" w:rsidRPr="00180C99">
        <w:rPr>
          <w:rFonts w:ascii="Arial" w:hAnsi="Arial" w:cs="Arial"/>
          <w:b/>
          <w:vertAlign w:val="superscript"/>
        </w:rPr>
        <w:t>+</w:t>
      </w:r>
      <w:r w:rsidR="008775BC">
        <w:rPr>
          <w:rFonts w:ascii="Arial" w:hAnsi="Arial" w:cs="Arial"/>
          <w:b/>
        </w:rPr>
        <w:t>:</w:t>
      </w:r>
      <w:r w:rsidRPr="00180C99">
        <w:rPr>
          <w:rFonts w:ascii="Arial" w:hAnsi="Arial" w:cs="Arial"/>
          <w:b/>
        </w:rPr>
        <w:t>NO</w:t>
      </w:r>
      <w:r w:rsidRPr="00180C99">
        <w:rPr>
          <w:rFonts w:ascii="Arial" w:hAnsi="Arial" w:cs="Arial"/>
          <w:b/>
          <w:vertAlign w:val="subscript"/>
        </w:rPr>
        <w:t>3</w:t>
      </w:r>
      <w:r w:rsidR="002D32BC" w:rsidRPr="002D32BC">
        <w:rPr>
          <w:rFonts w:ascii="Arial" w:hAnsi="Arial" w:cs="Arial"/>
          <w:b/>
          <w:vertAlign w:val="superscript"/>
        </w:rPr>
        <w:t>-</w:t>
      </w:r>
      <w:r w:rsidR="00F2663B">
        <w:rPr>
          <w:rFonts w:ascii="Arial" w:hAnsi="Arial" w:cs="Arial"/>
          <w:b/>
          <w:vertAlign w:val="superscript"/>
        </w:rPr>
        <w:t xml:space="preserve"> </w:t>
      </w:r>
      <w:r w:rsidR="008775BC" w:rsidRPr="008775BC">
        <w:rPr>
          <w:rFonts w:ascii="Arial" w:hAnsi="Arial" w:cs="Arial"/>
          <w:b/>
        </w:rPr>
        <w:t>en el medio de cultivo</w:t>
      </w:r>
      <w:r w:rsidR="008775BC">
        <w:rPr>
          <w:rFonts w:ascii="Arial" w:hAnsi="Arial" w:cs="Arial"/>
          <w:b/>
          <w:vertAlign w:val="superscript"/>
        </w:rPr>
        <w:t xml:space="preserve"> </w:t>
      </w:r>
      <w:r w:rsidR="00F2663B" w:rsidRPr="00180C99">
        <w:rPr>
          <w:rFonts w:ascii="Arial" w:hAnsi="Arial" w:cs="Arial"/>
          <w:b/>
        </w:rPr>
        <w:t>sobre</w:t>
      </w:r>
      <w:r w:rsidR="00B95C73">
        <w:rPr>
          <w:rFonts w:ascii="Arial" w:hAnsi="Arial" w:cs="Arial"/>
          <w:b/>
        </w:rPr>
        <w:t xml:space="preserve"> el crecimiento de</w:t>
      </w:r>
      <w:r w:rsidR="00180C99" w:rsidRPr="00365ACF">
        <w:rPr>
          <w:rFonts w:ascii="Arial" w:hAnsi="Arial" w:cs="Arial"/>
          <w:b/>
        </w:rPr>
        <w:t xml:space="preserve"> </w:t>
      </w:r>
      <w:proofErr w:type="spellStart"/>
      <w:r w:rsidR="00180C99">
        <w:rPr>
          <w:rFonts w:ascii="Arial" w:hAnsi="Arial" w:cs="Arial"/>
          <w:b/>
        </w:rPr>
        <w:t>explantes</w:t>
      </w:r>
      <w:proofErr w:type="spellEnd"/>
      <w:r w:rsidR="00180C99">
        <w:rPr>
          <w:rFonts w:ascii="Arial" w:hAnsi="Arial" w:cs="Arial"/>
          <w:b/>
        </w:rPr>
        <w:t xml:space="preserve"> caulinares</w:t>
      </w:r>
      <w:r w:rsidRPr="00180C99">
        <w:rPr>
          <w:rFonts w:ascii="Arial" w:hAnsi="Arial" w:cs="Arial"/>
          <w:b/>
        </w:rPr>
        <w:t xml:space="preserve"> de </w:t>
      </w:r>
      <w:proofErr w:type="spellStart"/>
      <w:r w:rsidRPr="00180C99">
        <w:rPr>
          <w:rFonts w:ascii="Arial" w:hAnsi="Arial" w:cs="Arial"/>
          <w:b/>
          <w:i/>
        </w:rPr>
        <w:t>Eucalyptus</w:t>
      </w:r>
      <w:proofErr w:type="spellEnd"/>
      <w:r w:rsidRPr="00180C99">
        <w:rPr>
          <w:rFonts w:ascii="Arial" w:hAnsi="Arial" w:cs="Arial"/>
          <w:b/>
          <w:i/>
        </w:rPr>
        <w:t xml:space="preserve"> </w:t>
      </w:r>
      <w:proofErr w:type="spellStart"/>
      <w:r w:rsidRPr="00180C99">
        <w:rPr>
          <w:rFonts w:ascii="Arial" w:hAnsi="Arial" w:cs="Arial"/>
          <w:b/>
          <w:i/>
        </w:rPr>
        <w:t>nitens</w:t>
      </w:r>
      <w:proofErr w:type="spellEnd"/>
      <w:r w:rsidR="00180C99" w:rsidRPr="00180C99">
        <w:rPr>
          <w:rFonts w:ascii="Arial" w:hAnsi="Arial" w:cs="Arial"/>
          <w:b/>
        </w:rPr>
        <w:t xml:space="preserve"> en </w:t>
      </w:r>
      <w:proofErr w:type="spellStart"/>
      <w:r w:rsidR="00180C99" w:rsidRPr="00180C99">
        <w:rPr>
          <w:rFonts w:ascii="Arial" w:hAnsi="Arial" w:cs="Arial"/>
          <w:b/>
        </w:rPr>
        <w:t>bior</w:t>
      </w:r>
      <w:r w:rsidR="00B95C73">
        <w:rPr>
          <w:rFonts w:ascii="Arial" w:hAnsi="Arial" w:cs="Arial"/>
          <w:b/>
        </w:rPr>
        <w:t>rectores</w:t>
      </w:r>
      <w:proofErr w:type="spellEnd"/>
      <w:r w:rsidR="00B95C73">
        <w:rPr>
          <w:rFonts w:ascii="Arial" w:hAnsi="Arial" w:cs="Arial"/>
          <w:b/>
        </w:rPr>
        <w:t xml:space="preserve"> de </w:t>
      </w:r>
      <w:r w:rsidR="00F2663B">
        <w:rPr>
          <w:rFonts w:ascii="Arial" w:hAnsi="Arial" w:cs="Arial"/>
          <w:b/>
        </w:rPr>
        <w:t>inmersión</w:t>
      </w:r>
      <w:r w:rsidR="00B95C73">
        <w:rPr>
          <w:rFonts w:ascii="Arial" w:hAnsi="Arial" w:cs="Arial"/>
          <w:b/>
        </w:rPr>
        <w:t xml:space="preserve"> temporal</w:t>
      </w:r>
      <w:r w:rsidRPr="00180C99">
        <w:rPr>
          <w:rFonts w:ascii="Arial" w:hAnsi="Arial" w:cs="Arial"/>
          <w:b/>
          <w:bCs/>
          <w:color w:val="231F20"/>
        </w:rPr>
        <w:t xml:space="preserve"> </w:t>
      </w:r>
    </w:p>
    <w:p w:rsidR="00A117EC" w:rsidRDefault="00A117EC" w:rsidP="00A117EC">
      <w:pPr>
        <w:spacing w:after="0" w:line="240" w:lineRule="auto"/>
        <w:jc w:val="center"/>
        <w:rPr>
          <w:rFonts w:ascii="Arial" w:hAnsi="Arial" w:cs="Arial"/>
          <w:b/>
        </w:rPr>
      </w:pPr>
    </w:p>
    <w:p w:rsidR="002976AE" w:rsidRPr="00993E81" w:rsidRDefault="002976AE" w:rsidP="002976AE">
      <w:pPr>
        <w:spacing w:after="0" w:line="240" w:lineRule="auto"/>
        <w:rPr>
          <w:rFonts w:ascii="Arial" w:eastAsia="Calibri" w:hAnsi="Arial" w:cs="Arial"/>
          <w:vertAlign w:val="superscript"/>
        </w:rPr>
      </w:pPr>
      <w:bookmarkStart w:id="0" w:name="_GoBack"/>
      <w:r w:rsidRPr="00365ACF">
        <w:rPr>
          <w:rFonts w:ascii="Arial" w:eastAsia="Calibri" w:hAnsi="Arial" w:cs="Arial"/>
        </w:rPr>
        <w:t>Ayala</w:t>
      </w:r>
      <w:bookmarkEnd w:id="0"/>
      <w:r w:rsidRPr="00365ACF">
        <w:rPr>
          <w:rFonts w:ascii="Arial" w:eastAsia="Calibri" w:hAnsi="Arial" w:cs="Arial"/>
        </w:rPr>
        <w:t>, P.</w:t>
      </w:r>
      <w:r w:rsidRPr="00365ACF">
        <w:rPr>
          <w:rFonts w:ascii="Arial" w:eastAsia="Calibri" w:hAnsi="Arial" w:cs="Arial"/>
          <w:vertAlign w:val="superscript"/>
        </w:rPr>
        <w:t>1</w:t>
      </w:r>
      <w:r>
        <w:rPr>
          <w:rFonts w:ascii="Arial" w:eastAsia="Calibri" w:hAnsi="Arial" w:cs="Arial"/>
        </w:rPr>
        <w:t>;</w:t>
      </w:r>
      <w:r w:rsidR="005F7B66" w:rsidRPr="005F7B66">
        <w:rPr>
          <w:rFonts w:ascii="Arial" w:eastAsia="Calibri" w:hAnsi="Arial" w:cs="Arial"/>
        </w:rPr>
        <w:t xml:space="preserve"> </w:t>
      </w:r>
      <w:r w:rsidR="005F7B66">
        <w:rPr>
          <w:rFonts w:ascii="Arial" w:eastAsia="Calibri" w:hAnsi="Arial" w:cs="Arial"/>
        </w:rPr>
        <w:t>Marcucci Poltri, S.</w:t>
      </w:r>
      <w:r w:rsidR="005F7B66" w:rsidRPr="006514D1">
        <w:rPr>
          <w:rFonts w:ascii="Arial" w:eastAsia="Calibri" w:hAnsi="Arial" w:cs="Arial"/>
          <w:vertAlign w:val="superscript"/>
        </w:rPr>
        <w:t xml:space="preserve"> </w:t>
      </w:r>
      <w:r w:rsidR="005F7B66" w:rsidRPr="00365ACF">
        <w:rPr>
          <w:rFonts w:ascii="Arial" w:eastAsia="Calibri" w:hAnsi="Arial" w:cs="Arial"/>
          <w:vertAlign w:val="superscript"/>
        </w:rPr>
        <w:t>2</w:t>
      </w:r>
      <w:r w:rsidR="005F7B66">
        <w:rPr>
          <w:rFonts w:ascii="Arial" w:eastAsia="Calibri" w:hAnsi="Arial" w:cs="Arial"/>
        </w:rPr>
        <w:t>;</w:t>
      </w:r>
      <w:r w:rsidR="00993E81" w:rsidRPr="00993E81">
        <w:rPr>
          <w:rFonts w:ascii="Arial" w:eastAsia="Calibri" w:hAnsi="Arial" w:cs="Arial"/>
          <w:iCs/>
        </w:rPr>
        <w:t xml:space="preserve"> Ayala L.</w:t>
      </w:r>
      <w:r w:rsidR="00993E81" w:rsidRPr="00993E81">
        <w:rPr>
          <w:rFonts w:ascii="Arial" w:eastAsia="Calibri" w:hAnsi="Arial" w:cs="Arial"/>
          <w:iCs/>
          <w:vertAlign w:val="superscript"/>
        </w:rPr>
        <w:t>1</w:t>
      </w:r>
      <w:r w:rsidR="00993E81">
        <w:rPr>
          <w:rFonts w:ascii="Arial" w:eastAsia="Calibri" w:hAnsi="Arial" w:cs="Arial"/>
        </w:rPr>
        <w:t>;</w:t>
      </w:r>
      <w:r w:rsidRPr="00365ACF">
        <w:rPr>
          <w:rFonts w:ascii="Arial" w:eastAsia="Calibri" w:hAnsi="Arial" w:cs="Arial"/>
        </w:rPr>
        <w:t>Luna, C.</w:t>
      </w:r>
      <w:r w:rsidRPr="00B82A16">
        <w:rPr>
          <w:rFonts w:ascii="Arial" w:eastAsia="Calibri" w:hAnsi="Arial" w:cs="Arial"/>
          <w:vertAlign w:val="superscript"/>
        </w:rPr>
        <w:t xml:space="preserve"> </w:t>
      </w:r>
      <w:r w:rsidRPr="00365ACF">
        <w:rPr>
          <w:rFonts w:ascii="Arial" w:eastAsia="Calibri" w:hAnsi="Arial" w:cs="Arial"/>
          <w:vertAlign w:val="superscript"/>
        </w:rPr>
        <w:t>1</w:t>
      </w:r>
      <w:r>
        <w:rPr>
          <w:rFonts w:ascii="Arial" w:eastAsia="Calibri" w:hAnsi="Arial" w:cs="Arial"/>
        </w:rPr>
        <w:t xml:space="preserve">; </w:t>
      </w:r>
      <w:r w:rsidRPr="00365ACF">
        <w:rPr>
          <w:rFonts w:ascii="Arial" w:eastAsia="Calibri" w:hAnsi="Arial" w:cs="Arial"/>
        </w:rPr>
        <w:t>Sansberro, P.</w:t>
      </w:r>
      <w:r w:rsidRPr="00365ACF">
        <w:rPr>
          <w:rFonts w:ascii="Arial" w:eastAsia="Calibri" w:hAnsi="Arial" w:cs="Arial"/>
          <w:vertAlign w:val="superscript"/>
        </w:rPr>
        <w:t>1</w:t>
      </w:r>
    </w:p>
    <w:p w:rsidR="002976AE" w:rsidRPr="005F7B66" w:rsidRDefault="005F7B66" w:rsidP="006D18E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1) </w:t>
      </w:r>
      <w:r w:rsidR="002976AE" w:rsidRPr="00365ACF">
        <w:rPr>
          <w:rFonts w:ascii="Arial" w:eastAsia="Calibri" w:hAnsi="Arial" w:cs="Arial"/>
        </w:rPr>
        <w:t xml:space="preserve">Laboratorio de Biotecnología Aplicada y Genómica Funcional. </w:t>
      </w:r>
      <w:r w:rsidR="002976AE">
        <w:rPr>
          <w:rFonts w:ascii="Arial" w:eastAsia="Calibri" w:hAnsi="Arial" w:cs="Arial"/>
        </w:rPr>
        <w:t xml:space="preserve">Instituto de Botánica del Nordeste (CONICET). </w:t>
      </w:r>
      <w:r w:rsidR="002976AE" w:rsidRPr="00365ACF">
        <w:rPr>
          <w:rFonts w:ascii="Arial" w:eastAsia="Calibri" w:hAnsi="Arial" w:cs="Arial"/>
        </w:rPr>
        <w:t>Facultad de Ciencias Agrarias (UNNE)</w:t>
      </w:r>
      <w:r w:rsidR="002976AE">
        <w:rPr>
          <w:rFonts w:ascii="Arial" w:eastAsia="Calibri" w:hAnsi="Arial" w:cs="Arial"/>
        </w:rPr>
        <w:t>.</w:t>
      </w:r>
      <w:r w:rsidR="002976AE" w:rsidRPr="00365ACF">
        <w:rPr>
          <w:rFonts w:ascii="Arial" w:eastAsia="Calibri" w:hAnsi="Arial" w:cs="Arial"/>
        </w:rPr>
        <w:t xml:space="preserve"> Sgto. Cabral 2131. W3402BKG</w:t>
      </w:r>
      <w:r w:rsidR="002976AE">
        <w:rPr>
          <w:rFonts w:ascii="Arial" w:eastAsia="Calibri" w:hAnsi="Arial" w:cs="Arial"/>
        </w:rPr>
        <w:t>,</w:t>
      </w:r>
      <w:r w:rsidR="002976AE" w:rsidRPr="00365ACF">
        <w:rPr>
          <w:rFonts w:ascii="Arial" w:eastAsia="Calibri" w:hAnsi="Arial" w:cs="Arial"/>
        </w:rPr>
        <w:t xml:space="preserve"> Corrientes, Argentina.</w:t>
      </w:r>
      <w:r>
        <w:rPr>
          <w:rFonts w:ascii="Arial" w:eastAsia="Calibri" w:hAnsi="Arial" w:cs="Arial"/>
        </w:rPr>
        <w:t xml:space="preserve"> 2) </w:t>
      </w:r>
      <w:r w:rsidR="002976AE" w:rsidRPr="0045476C">
        <w:rPr>
          <w:rFonts w:ascii="Arial" w:eastAsia="Calibri" w:hAnsi="Arial" w:cs="Arial"/>
        </w:rPr>
        <w:t>Instituto Nacional de Tecnología Agropecuaria</w:t>
      </w:r>
      <w:r w:rsidR="002976AE">
        <w:rPr>
          <w:rFonts w:ascii="Arial" w:eastAsia="Calibri" w:hAnsi="Arial" w:cs="Arial"/>
        </w:rPr>
        <w:t xml:space="preserve"> </w:t>
      </w:r>
      <w:r w:rsidR="002976AE" w:rsidRPr="0045476C">
        <w:rPr>
          <w:rFonts w:ascii="Arial" w:eastAsia="Calibri" w:hAnsi="Arial" w:cs="Arial"/>
        </w:rPr>
        <w:t xml:space="preserve">(INTA). Instituto de Biotecnología. De Los Reseros y Dr. Nicolás </w:t>
      </w:r>
      <w:proofErr w:type="spellStart"/>
      <w:r w:rsidR="002976AE" w:rsidRPr="0045476C">
        <w:rPr>
          <w:rFonts w:ascii="Arial" w:eastAsia="Calibri" w:hAnsi="Arial" w:cs="Arial"/>
        </w:rPr>
        <w:t>Repetto</w:t>
      </w:r>
      <w:proofErr w:type="spellEnd"/>
      <w:r w:rsidR="002976AE" w:rsidRPr="0045476C">
        <w:rPr>
          <w:rFonts w:ascii="Arial" w:eastAsia="Calibri" w:hAnsi="Arial" w:cs="Arial"/>
        </w:rPr>
        <w:t xml:space="preserve"> s/n°</w:t>
      </w:r>
      <w:r w:rsidR="002976AE">
        <w:rPr>
          <w:rFonts w:ascii="Arial" w:eastAsia="Calibri" w:hAnsi="Arial" w:cs="Arial"/>
        </w:rPr>
        <w:t>.</w:t>
      </w:r>
      <w:r w:rsidR="002976AE" w:rsidRPr="0045476C">
        <w:rPr>
          <w:rFonts w:ascii="Arial" w:eastAsia="Calibri" w:hAnsi="Arial" w:cs="Arial"/>
        </w:rPr>
        <w:t xml:space="preserve"> </w:t>
      </w:r>
      <w:r w:rsidR="002976AE" w:rsidRPr="00A77BC0">
        <w:rPr>
          <w:rFonts w:ascii="Arial" w:eastAsia="Calibri" w:hAnsi="Arial" w:cs="Arial"/>
          <w:lang w:val="es-ES"/>
        </w:rPr>
        <w:t>CP 1686, Hurlingham (Buenos Aires), Argentina</w:t>
      </w:r>
      <w:r w:rsidR="006D18E6">
        <w:rPr>
          <w:rFonts w:ascii="Arial" w:eastAsia="Calibri" w:hAnsi="Arial" w:cs="Arial"/>
          <w:lang w:val="es-ES"/>
        </w:rPr>
        <w:t>.</w:t>
      </w:r>
    </w:p>
    <w:p w:rsidR="002976AE" w:rsidRPr="00A77BC0" w:rsidRDefault="002976AE" w:rsidP="002976AE">
      <w:pPr>
        <w:spacing w:after="0" w:line="240" w:lineRule="auto"/>
        <w:jc w:val="center"/>
        <w:rPr>
          <w:rFonts w:ascii="Arial" w:eastAsia="Calibri" w:hAnsi="Arial" w:cs="Arial"/>
          <w:b/>
          <w:lang w:val="es-ES"/>
        </w:rPr>
      </w:pPr>
    </w:p>
    <w:p w:rsidR="002976AE" w:rsidRDefault="002976AE" w:rsidP="007F1F7A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3173B">
        <w:rPr>
          <w:rFonts w:ascii="Arial" w:hAnsi="Arial" w:cs="Arial"/>
          <w:i/>
          <w:lang w:val="es-ES"/>
        </w:rPr>
        <w:t>Eucalyptus</w:t>
      </w:r>
      <w:proofErr w:type="spellEnd"/>
      <w:r w:rsidRPr="0073173B">
        <w:rPr>
          <w:rFonts w:ascii="Arial" w:hAnsi="Arial" w:cs="Arial"/>
          <w:i/>
          <w:lang w:val="es-ES"/>
        </w:rPr>
        <w:t xml:space="preserve"> </w:t>
      </w:r>
      <w:proofErr w:type="spellStart"/>
      <w:r w:rsidRPr="0073173B">
        <w:rPr>
          <w:rFonts w:ascii="Arial" w:hAnsi="Arial" w:cs="Arial"/>
          <w:i/>
          <w:lang w:val="es-ES"/>
        </w:rPr>
        <w:t>nitens</w:t>
      </w:r>
      <w:proofErr w:type="spellEnd"/>
      <w:r w:rsidRPr="00141F49">
        <w:rPr>
          <w:rFonts w:ascii="Arial" w:hAnsi="Arial" w:cs="Arial"/>
          <w:lang w:val="es-ES"/>
        </w:rPr>
        <w:t>, originario de</w:t>
      </w:r>
      <w:r>
        <w:rPr>
          <w:rFonts w:ascii="Arial" w:hAnsi="Arial" w:cs="Arial"/>
          <w:lang w:val="es-ES"/>
        </w:rPr>
        <w:t>l sudeste de</w:t>
      </w:r>
      <w:r w:rsidRPr="00141F49">
        <w:rPr>
          <w:rFonts w:ascii="Arial" w:hAnsi="Arial" w:cs="Arial"/>
          <w:lang w:val="es-ES"/>
        </w:rPr>
        <w:t xml:space="preserve"> Australia, </w:t>
      </w:r>
      <w:r w:rsidR="005F7B66">
        <w:rPr>
          <w:rFonts w:ascii="Arial" w:hAnsi="Arial" w:cs="Arial"/>
          <w:lang w:val="es-ES"/>
        </w:rPr>
        <w:t>p</w:t>
      </w:r>
      <w:proofErr w:type="spellStart"/>
      <w:r w:rsidR="005F7B66" w:rsidRPr="00141F49">
        <w:rPr>
          <w:rFonts w:ascii="Arial" w:hAnsi="Arial" w:cs="Arial"/>
        </w:rPr>
        <w:t>resenta</w:t>
      </w:r>
      <w:proofErr w:type="spellEnd"/>
      <w:r w:rsidRPr="00141F49">
        <w:rPr>
          <w:rFonts w:ascii="Arial" w:hAnsi="Arial" w:cs="Arial"/>
        </w:rPr>
        <w:t xml:space="preserve"> una elevada plasticidad adaptándose a una amplia variedad de suelos, vislumbrando un crecimiento inicial rápido y una alta tolerancia a heladas. Sin embargo, por un lado, la producción tardía y esca</w:t>
      </w:r>
      <w:r w:rsidR="005F7B66">
        <w:rPr>
          <w:rFonts w:ascii="Arial" w:hAnsi="Arial" w:cs="Arial"/>
        </w:rPr>
        <w:t xml:space="preserve">sa viabilidad de sus semillas, la convierte en una especie </w:t>
      </w:r>
      <w:r w:rsidR="005F7B66" w:rsidRPr="00B60653">
        <w:rPr>
          <w:rFonts w:ascii="Arial" w:hAnsi="Arial" w:cs="Arial"/>
        </w:rPr>
        <w:t>refractaria</w:t>
      </w:r>
      <w:r w:rsidR="005F7B66">
        <w:rPr>
          <w:rFonts w:ascii="Arial" w:hAnsi="Arial" w:cs="Arial"/>
        </w:rPr>
        <w:t xml:space="preserve"> y</w:t>
      </w:r>
      <w:r w:rsidRPr="00141F49">
        <w:rPr>
          <w:rFonts w:ascii="Arial" w:hAnsi="Arial" w:cs="Arial"/>
        </w:rPr>
        <w:t xml:space="preserve"> por el otro, su carácter recalcitrante</w:t>
      </w:r>
      <w:r w:rsidR="005F7B66">
        <w:rPr>
          <w:rFonts w:ascii="Arial" w:hAnsi="Arial" w:cs="Arial"/>
        </w:rPr>
        <w:t xml:space="preserve"> que</w:t>
      </w:r>
      <w:r w:rsidRPr="00141F49">
        <w:rPr>
          <w:rFonts w:ascii="Arial" w:hAnsi="Arial" w:cs="Arial"/>
        </w:rPr>
        <w:t xml:space="preserve"> dificu</w:t>
      </w:r>
      <w:r w:rsidR="005F7B66">
        <w:rPr>
          <w:rFonts w:ascii="Arial" w:hAnsi="Arial" w:cs="Arial"/>
        </w:rPr>
        <w:t>lta su propagación</w:t>
      </w:r>
      <w:r w:rsidRPr="00141F49">
        <w:rPr>
          <w:rFonts w:ascii="Arial" w:hAnsi="Arial" w:cs="Arial"/>
        </w:rPr>
        <w:t xml:space="preserve"> por métodos convencionales, limitan la disponibilidad de germoplasma que reúnan características superiores para el mejoramiento de la especie y el establecimiento de plantaciones que permitan aumentar su competitividad en la industria forestal.</w:t>
      </w:r>
      <w:r>
        <w:rPr>
          <w:rFonts w:ascii="Arial" w:hAnsi="Arial" w:cs="Arial"/>
        </w:rPr>
        <w:t xml:space="preserve"> </w:t>
      </w:r>
    </w:p>
    <w:p w:rsidR="00404B2C" w:rsidRDefault="00FD58C1" w:rsidP="007F1F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composición química del medio de cultivo determina en gran medida la </w:t>
      </w:r>
      <w:proofErr w:type="spellStart"/>
      <w:r>
        <w:rPr>
          <w:rFonts w:ascii="Arial" w:hAnsi="Arial" w:cs="Arial"/>
        </w:rPr>
        <w:t>brotación</w:t>
      </w:r>
      <w:proofErr w:type="spellEnd"/>
      <w:r>
        <w:rPr>
          <w:rFonts w:ascii="Arial" w:hAnsi="Arial" w:cs="Arial"/>
        </w:rPr>
        <w:t xml:space="preserve"> de las yemas axilares y ulterior crecimiento de los brotes resultantes. En este sentido, tanto el contenido como formas de nitrógeno que se emplean para alcanzar una formulación mineral equilibrada incidirán en el proceso </w:t>
      </w:r>
      <w:proofErr w:type="spellStart"/>
      <w:r>
        <w:rPr>
          <w:rFonts w:ascii="Arial" w:hAnsi="Arial" w:cs="Arial"/>
        </w:rPr>
        <w:t>morfogénico</w:t>
      </w:r>
      <w:proofErr w:type="spellEnd"/>
      <w:r>
        <w:rPr>
          <w:rFonts w:ascii="Arial" w:hAnsi="Arial" w:cs="Arial"/>
        </w:rPr>
        <w:t xml:space="preserve">. </w:t>
      </w:r>
      <w:r w:rsidR="00C81A1A">
        <w:rPr>
          <w:rFonts w:ascii="Arial" w:hAnsi="Arial" w:cs="Arial"/>
        </w:rPr>
        <w:t>Sales de amonio (NH</w:t>
      </w:r>
      <w:r w:rsidR="00C81A1A" w:rsidRPr="007F1F7A">
        <w:rPr>
          <w:rFonts w:ascii="Arial" w:hAnsi="Arial" w:cs="Arial"/>
          <w:vertAlign w:val="subscript"/>
        </w:rPr>
        <w:t>4</w:t>
      </w:r>
      <w:r w:rsidR="00C81A1A" w:rsidRPr="007F1F7A">
        <w:rPr>
          <w:rFonts w:ascii="Arial" w:hAnsi="Arial" w:cs="Arial"/>
          <w:vertAlign w:val="superscript"/>
        </w:rPr>
        <w:t>+</w:t>
      </w:r>
      <w:r w:rsidR="00C81A1A" w:rsidRPr="007F1F7A">
        <w:rPr>
          <w:rFonts w:ascii="Arial" w:hAnsi="Arial" w:cs="Arial"/>
        </w:rPr>
        <w:t>)</w:t>
      </w:r>
      <w:r w:rsidR="00C81A1A">
        <w:rPr>
          <w:rFonts w:ascii="Arial" w:hAnsi="Arial" w:cs="Arial"/>
        </w:rPr>
        <w:t xml:space="preserve"> y nitrato </w:t>
      </w:r>
      <w:r w:rsidR="00C81A1A" w:rsidRPr="00404B2C">
        <w:rPr>
          <w:rFonts w:ascii="Arial" w:hAnsi="Arial" w:cs="Arial"/>
        </w:rPr>
        <w:t>(NO</w:t>
      </w:r>
      <w:r w:rsidR="00C81A1A" w:rsidRPr="007F1F7A">
        <w:rPr>
          <w:rFonts w:ascii="Arial" w:hAnsi="Arial" w:cs="Arial"/>
          <w:vertAlign w:val="subscript"/>
        </w:rPr>
        <w:t>3</w:t>
      </w:r>
      <w:r w:rsidR="00C81A1A" w:rsidRPr="007F1F7A">
        <w:rPr>
          <w:rFonts w:ascii="Arial" w:hAnsi="Arial" w:cs="Arial"/>
          <w:vertAlign w:val="superscript"/>
        </w:rPr>
        <w:t>-</w:t>
      </w:r>
      <w:r w:rsidR="00C81A1A">
        <w:rPr>
          <w:rFonts w:ascii="Arial" w:hAnsi="Arial" w:cs="Arial"/>
        </w:rPr>
        <w:t>) son adicionadas usualmente al medio de cultivo como fuente nitrogenada</w:t>
      </w:r>
      <w:r w:rsidR="00B60653">
        <w:rPr>
          <w:rFonts w:ascii="Arial" w:hAnsi="Arial" w:cs="Arial"/>
        </w:rPr>
        <w:t xml:space="preserve"> variando su consumo según las especies. E</w:t>
      </w:r>
      <w:r w:rsidR="005C11A5" w:rsidRPr="005C11A5">
        <w:rPr>
          <w:rFonts w:ascii="Arial" w:hAnsi="Arial" w:cs="Arial"/>
        </w:rPr>
        <w:t>l objetivo del presente</w:t>
      </w:r>
      <w:r w:rsidR="00404B2C" w:rsidRPr="00404B2C">
        <w:rPr>
          <w:rFonts w:ascii="Arial" w:hAnsi="Arial" w:cs="Arial"/>
        </w:rPr>
        <w:t xml:space="preserve"> </w:t>
      </w:r>
      <w:r w:rsidR="00516401">
        <w:rPr>
          <w:rFonts w:ascii="Arial" w:hAnsi="Arial" w:cs="Arial"/>
        </w:rPr>
        <w:t xml:space="preserve">trabajo </w:t>
      </w:r>
      <w:r w:rsidR="00404B2C" w:rsidRPr="00404B2C">
        <w:rPr>
          <w:rFonts w:ascii="Arial" w:hAnsi="Arial" w:cs="Arial"/>
        </w:rPr>
        <w:t xml:space="preserve">fue identificar </w:t>
      </w:r>
      <w:r w:rsidR="00B60653">
        <w:rPr>
          <w:rFonts w:ascii="Arial" w:hAnsi="Arial" w:cs="Arial"/>
        </w:rPr>
        <w:t>la relación ó</w:t>
      </w:r>
      <w:r w:rsidR="009A113C">
        <w:rPr>
          <w:rFonts w:ascii="Arial" w:hAnsi="Arial" w:cs="Arial"/>
        </w:rPr>
        <w:t>ptima</w:t>
      </w:r>
      <w:r w:rsidR="00404B2C" w:rsidRPr="00404B2C">
        <w:rPr>
          <w:rFonts w:ascii="Arial" w:hAnsi="Arial" w:cs="Arial"/>
        </w:rPr>
        <w:t xml:space="preserve"> </w:t>
      </w:r>
      <w:bookmarkStart w:id="1" w:name="_Hlk487020740"/>
      <w:r w:rsidR="00404B2C" w:rsidRPr="005C11A5">
        <w:rPr>
          <w:rFonts w:ascii="Arial" w:hAnsi="Arial" w:cs="Arial"/>
        </w:rPr>
        <w:t>NH</w:t>
      </w:r>
      <w:r w:rsidR="00404B2C" w:rsidRPr="005C11A5">
        <w:rPr>
          <w:rFonts w:ascii="Arial" w:hAnsi="Arial" w:cs="Arial"/>
          <w:vertAlign w:val="subscript"/>
        </w:rPr>
        <w:t>4</w:t>
      </w:r>
      <w:r w:rsidR="002D32BC" w:rsidRPr="005C11A5">
        <w:rPr>
          <w:rFonts w:ascii="Arial" w:hAnsi="Arial" w:cs="Arial"/>
          <w:vertAlign w:val="superscript"/>
        </w:rPr>
        <w:t>+</w:t>
      </w:r>
      <w:r w:rsidR="002D32BC">
        <w:rPr>
          <w:rFonts w:ascii="Arial" w:hAnsi="Arial" w:cs="Arial"/>
        </w:rPr>
        <w:t>:</w:t>
      </w:r>
      <w:r w:rsidR="00404B2C" w:rsidRPr="005C11A5">
        <w:rPr>
          <w:rFonts w:ascii="Arial" w:hAnsi="Arial" w:cs="Arial"/>
        </w:rPr>
        <w:t>NO</w:t>
      </w:r>
      <w:r w:rsidR="00404B2C" w:rsidRPr="005C11A5">
        <w:rPr>
          <w:rFonts w:ascii="Arial" w:hAnsi="Arial" w:cs="Arial"/>
          <w:vertAlign w:val="subscript"/>
        </w:rPr>
        <w:t>3</w:t>
      </w:r>
      <w:r w:rsidR="002D32BC" w:rsidRPr="005C11A5">
        <w:rPr>
          <w:rFonts w:ascii="Arial" w:hAnsi="Arial" w:cs="Arial"/>
          <w:vertAlign w:val="superscript"/>
        </w:rPr>
        <w:t>-</w:t>
      </w:r>
      <w:r w:rsidR="00404B2C">
        <w:rPr>
          <w:rFonts w:ascii="Arial" w:hAnsi="Arial" w:cs="Arial"/>
        </w:rPr>
        <w:t xml:space="preserve"> </w:t>
      </w:r>
      <w:bookmarkEnd w:id="1"/>
      <w:r w:rsidR="00B60653">
        <w:rPr>
          <w:rFonts w:ascii="Arial" w:hAnsi="Arial" w:cs="Arial"/>
        </w:rPr>
        <w:t>que promueva el</w:t>
      </w:r>
      <w:r w:rsidR="007F1F7A">
        <w:rPr>
          <w:rFonts w:ascii="Arial" w:hAnsi="Arial" w:cs="Arial"/>
        </w:rPr>
        <w:t xml:space="preserve"> crecimiento y desarrollo</w:t>
      </w:r>
      <w:r w:rsidR="00404B2C" w:rsidRPr="00404B2C">
        <w:rPr>
          <w:rFonts w:ascii="Arial" w:hAnsi="Arial" w:cs="Arial"/>
        </w:rPr>
        <w:t xml:space="preserve"> </w:t>
      </w:r>
      <w:r w:rsidR="0038003B">
        <w:rPr>
          <w:rFonts w:ascii="Arial" w:hAnsi="Arial" w:cs="Arial"/>
        </w:rPr>
        <w:t xml:space="preserve">de </w:t>
      </w:r>
      <w:r w:rsidR="00B60653">
        <w:rPr>
          <w:rFonts w:ascii="Arial" w:hAnsi="Arial" w:cs="Arial"/>
        </w:rPr>
        <w:t xml:space="preserve">segmentos caulinares de </w:t>
      </w:r>
      <w:r w:rsidR="0038003B" w:rsidRPr="0038003B">
        <w:rPr>
          <w:rFonts w:ascii="Arial" w:hAnsi="Arial" w:cs="Arial"/>
          <w:i/>
        </w:rPr>
        <w:t xml:space="preserve">E. </w:t>
      </w:r>
      <w:proofErr w:type="spellStart"/>
      <w:r w:rsidR="0038003B" w:rsidRPr="0038003B">
        <w:rPr>
          <w:rFonts w:ascii="Arial" w:hAnsi="Arial" w:cs="Arial"/>
          <w:i/>
        </w:rPr>
        <w:t>nitens</w:t>
      </w:r>
      <w:proofErr w:type="spellEnd"/>
      <w:r w:rsidR="0038003B" w:rsidRPr="0038003B">
        <w:rPr>
          <w:rFonts w:ascii="Arial" w:hAnsi="Arial" w:cs="Arial"/>
        </w:rPr>
        <w:t xml:space="preserve"> </w:t>
      </w:r>
      <w:r w:rsidR="00B60653">
        <w:rPr>
          <w:rFonts w:ascii="Arial" w:hAnsi="Arial" w:cs="Arial"/>
        </w:rPr>
        <w:t>cultivados en</w:t>
      </w:r>
      <w:r w:rsidR="00404B2C">
        <w:rPr>
          <w:rFonts w:ascii="Arial" w:hAnsi="Arial" w:cs="Arial"/>
        </w:rPr>
        <w:t xml:space="preserve"> biorreactores de inmersión temporal. </w:t>
      </w:r>
    </w:p>
    <w:p w:rsidR="00C31975" w:rsidRDefault="00516401" w:rsidP="007F1F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</w:t>
      </w:r>
      <w:r w:rsidR="00B6065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, segmentos </w:t>
      </w:r>
      <w:proofErr w:type="spellStart"/>
      <w:r w:rsidR="00B60653">
        <w:rPr>
          <w:rFonts w:ascii="Arial" w:hAnsi="Arial" w:cs="Arial"/>
        </w:rPr>
        <w:t>plurinodales</w:t>
      </w:r>
      <w:proofErr w:type="spellEnd"/>
      <w:r>
        <w:rPr>
          <w:rFonts w:ascii="Arial" w:hAnsi="Arial" w:cs="Arial"/>
        </w:rPr>
        <w:t xml:space="preserve"> de plántulas obtenidas por germinación </w:t>
      </w:r>
      <w:r w:rsidRPr="009F77A5">
        <w:rPr>
          <w:rFonts w:ascii="Arial" w:hAnsi="Arial" w:cs="Arial"/>
          <w:i/>
        </w:rPr>
        <w:t>in vitro</w:t>
      </w:r>
      <w:r w:rsidR="009A113C">
        <w:rPr>
          <w:rFonts w:ascii="Arial" w:hAnsi="Arial" w:cs="Arial"/>
          <w:i/>
        </w:rPr>
        <w:t xml:space="preserve"> </w:t>
      </w:r>
      <w:r w:rsidR="008775BC">
        <w:rPr>
          <w:rFonts w:ascii="Arial" w:hAnsi="Arial" w:cs="Arial"/>
        </w:rPr>
        <w:t>de semillas</w:t>
      </w:r>
      <w:r w:rsidRPr="00516401">
        <w:rPr>
          <w:rFonts w:ascii="Arial" w:hAnsi="Arial" w:cs="Arial"/>
        </w:rPr>
        <w:t xml:space="preserve"> fueron cultivados </w:t>
      </w:r>
      <w:r>
        <w:rPr>
          <w:rFonts w:ascii="Arial" w:hAnsi="Arial" w:cs="Arial"/>
        </w:rPr>
        <w:t>(10</w:t>
      </w:r>
      <w:r w:rsidRPr="00516401">
        <w:rPr>
          <w:rFonts w:ascii="Arial" w:hAnsi="Arial" w:cs="Arial"/>
        </w:rPr>
        <w:t xml:space="preserve"> </w:t>
      </w:r>
      <w:proofErr w:type="spellStart"/>
      <w:r w:rsidRPr="00516401">
        <w:rPr>
          <w:rFonts w:ascii="Arial" w:hAnsi="Arial" w:cs="Arial"/>
        </w:rPr>
        <w:t>explantes</w:t>
      </w:r>
      <w:proofErr w:type="spellEnd"/>
      <w:r w:rsidR="009A113C">
        <w:rPr>
          <w:rFonts w:ascii="Arial" w:hAnsi="Arial" w:cs="Arial"/>
        </w:rPr>
        <w:t xml:space="preserve"> por </w:t>
      </w:r>
      <w:r w:rsidR="00B60653">
        <w:rPr>
          <w:rFonts w:ascii="Arial" w:hAnsi="Arial" w:cs="Arial"/>
        </w:rPr>
        <w:t>recipiente</w:t>
      </w:r>
      <w:r w:rsidRPr="00516401">
        <w:rPr>
          <w:rFonts w:ascii="Arial" w:hAnsi="Arial" w:cs="Arial"/>
        </w:rPr>
        <w:t>)</w:t>
      </w:r>
      <w:r w:rsidR="009A113C">
        <w:rPr>
          <w:rFonts w:ascii="Arial" w:hAnsi="Arial" w:cs="Arial"/>
        </w:rPr>
        <w:t xml:space="preserve"> </w:t>
      </w:r>
      <w:r w:rsidR="00B60653">
        <w:rPr>
          <w:rFonts w:ascii="Arial" w:hAnsi="Arial" w:cs="Arial"/>
        </w:rPr>
        <w:t>en</w:t>
      </w:r>
      <w:r w:rsidR="009A113C">
        <w:rPr>
          <w:rFonts w:ascii="Arial" w:hAnsi="Arial" w:cs="Arial"/>
        </w:rPr>
        <w:t xml:space="preserve"> </w:t>
      </w:r>
      <w:r w:rsidRPr="00516401">
        <w:rPr>
          <w:rFonts w:ascii="Arial" w:hAnsi="Arial" w:cs="Arial"/>
        </w:rPr>
        <w:t xml:space="preserve">un medio basal </w:t>
      </w:r>
      <w:r w:rsidR="009A113C">
        <w:rPr>
          <w:rFonts w:ascii="Arial" w:hAnsi="Arial" w:cs="Arial"/>
        </w:rPr>
        <w:t xml:space="preserve">compuesto por </w:t>
      </w:r>
      <w:r w:rsidR="009A113C" w:rsidRPr="00516401">
        <w:rPr>
          <w:rFonts w:ascii="Arial" w:hAnsi="Arial" w:cs="Arial"/>
        </w:rPr>
        <w:t xml:space="preserve">las sales minerales y vitaminas de </w:t>
      </w:r>
      <w:proofErr w:type="spellStart"/>
      <w:r w:rsidR="009A113C" w:rsidRPr="00516401">
        <w:rPr>
          <w:rFonts w:ascii="Arial" w:hAnsi="Arial" w:cs="Arial"/>
        </w:rPr>
        <w:t>Murashige</w:t>
      </w:r>
      <w:proofErr w:type="spellEnd"/>
      <w:r w:rsidR="009A113C" w:rsidRPr="00516401">
        <w:rPr>
          <w:rFonts w:ascii="Arial" w:hAnsi="Arial" w:cs="Arial"/>
        </w:rPr>
        <w:t xml:space="preserve"> </w:t>
      </w:r>
      <w:r w:rsidR="0042181C">
        <w:rPr>
          <w:rFonts w:ascii="Arial" w:hAnsi="Arial" w:cs="Arial"/>
        </w:rPr>
        <w:t>y</w:t>
      </w:r>
      <w:r w:rsidR="009A113C" w:rsidRPr="00516401">
        <w:rPr>
          <w:rFonts w:ascii="Arial" w:hAnsi="Arial" w:cs="Arial"/>
        </w:rPr>
        <w:t xml:space="preserve"> </w:t>
      </w:r>
      <w:proofErr w:type="spellStart"/>
      <w:r w:rsidR="009A113C" w:rsidRPr="00516401">
        <w:rPr>
          <w:rFonts w:ascii="Arial" w:hAnsi="Arial" w:cs="Arial"/>
        </w:rPr>
        <w:t>Skoog</w:t>
      </w:r>
      <w:proofErr w:type="spellEnd"/>
      <w:r w:rsidR="009A113C" w:rsidRPr="00516401">
        <w:rPr>
          <w:rFonts w:ascii="Arial" w:hAnsi="Arial" w:cs="Arial"/>
        </w:rPr>
        <w:t xml:space="preserve"> (1962)</w:t>
      </w:r>
      <w:r w:rsidR="001C632D">
        <w:rPr>
          <w:rFonts w:ascii="Arial" w:hAnsi="Arial" w:cs="Arial"/>
        </w:rPr>
        <w:t>,</w:t>
      </w:r>
      <w:r w:rsidR="009A113C">
        <w:rPr>
          <w:rFonts w:ascii="Arial" w:hAnsi="Arial" w:cs="Arial"/>
        </w:rPr>
        <w:t xml:space="preserve"> en su formulación </w:t>
      </w:r>
      <w:r w:rsidR="00B60653">
        <w:rPr>
          <w:rFonts w:ascii="Arial" w:hAnsi="Arial" w:cs="Arial"/>
        </w:rPr>
        <w:t>original</w:t>
      </w:r>
      <w:r w:rsidR="008775BC">
        <w:rPr>
          <w:rFonts w:ascii="Arial" w:hAnsi="Arial" w:cs="Arial"/>
        </w:rPr>
        <w:t xml:space="preserve"> (MS)</w:t>
      </w:r>
      <w:r w:rsidR="009A113C">
        <w:rPr>
          <w:rFonts w:ascii="Arial" w:hAnsi="Arial" w:cs="Arial"/>
        </w:rPr>
        <w:t xml:space="preserve"> </w:t>
      </w:r>
      <w:r w:rsidR="00B60653">
        <w:rPr>
          <w:rFonts w:ascii="Arial" w:hAnsi="Arial" w:cs="Arial"/>
        </w:rPr>
        <w:t>o</w:t>
      </w:r>
      <w:r w:rsidR="009A113C">
        <w:rPr>
          <w:rFonts w:ascii="Arial" w:hAnsi="Arial" w:cs="Arial"/>
        </w:rPr>
        <w:t xml:space="preserve"> di</w:t>
      </w:r>
      <w:r w:rsidR="00B60653">
        <w:rPr>
          <w:rFonts w:ascii="Arial" w:hAnsi="Arial" w:cs="Arial"/>
        </w:rPr>
        <w:t>luido</w:t>
      </w:r>
      <w:r w:rsidR="009A113C">
        <w:rPr>
          <w:rFonts w:ascii="Arial" w:hAnsi="Arial" w:cs="Arial"/>
        </w:rPr>
        <w:t xml:space="preserve"> </w:t>
      </w:r>
      <w:r w:rsidR="00C31975">
        <w:rPr>
          <w:rFonts w:ascii="Arial" w:hAnsi="Arial" w:cs="Arial"/>
        </w:rPr>
        <w:t>a</w:t>
      </w:r>
      <w:r w:rsidR="00B60653">
        <w:rPr>
          <w:rFonts w:ascii="Arial" w:hAnsi="Arial" w:cs="Arial"/>
        </w:rPr>
        <w:t>l 50%</w:t>
      </w:r>
      <w:r w:rsidR="008775BC">
        <w:rPr>
          <w:rFonts w:ascii="Arial" w:hAnsi="Arial" w:cs="Arial"/>
        </w:rPr>
        <w:t xml:space="preserve"> (MS/2)</w:t>
      </w:r>
      <w:r w:rsidR="00C31975">
        <w:rPr>
          <w:rFonts w:ascii="Arial" w:hAnsi="Arial" w:cs="Arial"/>
        </w:rPr>
        <w:t xml:space="preserve">, </w:t>
      </w:r>
      <w:r w:rsidR="00B60653">
        <w:rPr>
          <w:rFonts w:ascii="Arial" w:hAnsi="Arial" w:cs="Arial"/>
        </w:rPr>
        <w:t>modificándose</w:t>
      </w:r>
      <w:r w:rsidR="00C31975">
        <w:rPr>
          <w:rFonts w:ascii="Arial" w:hAnsi="Arial" w:cs="Arial"/>
        </w:rPr>
        <w:t xml:space="preserve"> la </w:t>
      </w:r>
      <w:r w:rsidR="002D32BC">
        <w:rPr>
          <w:rFonts w:ascii="Arial" w:hAnsi="Arial" w:cs="Arial"/>
        </w:rPr>
        <w:t xml:space="preserve">proporción </w:t>
      </w:r>
      <w:r w:rsidR="00B60653">
        <w:rPr>
          <w:rFonts w:ascii="Arial" w:hAnsi="Arial" w:cs="Arial"/>
        </w:rPr>
        <w:t>iónica entre</w:t>
      </w:r>
      <w:r w:rsidR="002D32BC">
        <w:rPr>
          <w:rFonts w:ascii="Arial" w:hAnsi="Arial" w:cs="Arial"/>
        </w:rPr>
        <w:t xml:space="preserve"> </w:t>
      </w:r>
      <w:r w:rsidR="002D32BC" w:rsidRPr="005C11A5">
        <w:rPr>
          <w:rFonts w:ascii="Arial" w:hAnsi="Arial" w:cs="Arial"/>
        </w:rPr>
        <w:t>NH</w:t>
      </w:r>
      <w:r w:rsidR="002D32BC" w:rsidRPr="005C11A5">
        <w:rPr>
          <w:rFonts w:ascii="Arial" w:hAnsi="Arial" w:cs="Arial"/>
          <w:vertAlign w:val="subscript"/>
        </w:rPr>
        <w:t>4</w:t>
      </w:r>
      <w:r w:rsidR="002D32BC" w:rsidRPr="005C11A5">
        <w:rPr>
          <w:rFonts w:ascii="Arial" w:hAnsi="Arial" w:cs="Arial"/>
          <w:vertAlign w:val="superscript"/>
        </w:rPr>
        <w:t>+</w:t>
      </w:r>
      <w:r w:rsidR="002D32BC">
        <w:rPr>
          <w:rFonts w:ascii="Arial" w:hAnsi="Arial" w:cs="Arial"/>
        </w:rPr>
        <w:t xml:space="preserve"> y </w:t>
      </w:r>
      <w:r w:rsidR="002D32BC" w:rsidRPr="005C11A5">
        <w:rPr>
          <w:rFonts w:ascii="Arial" w:hAnsi="Arial" w:cs="Arial"/>
        </w:rPr>
        <w:t>NO</w:t>
      </w:r>
      <w:r w:rsidR="002D32BC" w:rsidRPr="005C11A5">
        <w:rPr>
          <w:rFonts w:ascii="Arial" w:hAnsi="Arial" w:cs="Arial"/>
          <w:vertAlign w:val="subscript"/>
        </w:rPr>
        <w:t>3</w:t>
      </w:r>
      <w:r w:rsidR="002D32BC" w:rsidRPr="005C11A5">
        <w:rPr>
          <w:rFonts w:ascii="Arial" w:hAnsi="Arial" w:cs="Arial"/>
          <w:vertAlign w:val="superscript"/>
        </w:rPr>
        <w:t>-</w:t>
      </w:r>
      <w:r w:rsidR="002D32BC">
        <w:rPr>
          <w:rFonts w:ascii="Arial" w:hAnsi="Arial" w:cs="Arial"/>
        </w:rPr>
        <w:t xml:space="preserve"> </w:t>
      </w:r>
      <w:r w:rsidR="0042181C">
        <w:rPr>
          <w:rFonts w:ascii="Arial" w:hAnsi="Arial" w:cs="Arial"/>
        </w:rPr>
        <w:t xml:space="preserve">(20:40) </w:t>
      </w:r>
      <w:r w:rsidR="002D32BC">
        <w:rPr>
          <w:rFonts w:ascii="Arial" w:hAnsi="Arial" w:cs="Arial"/>
        </w:rPr>
        <w:t>a fin de alcanzar las relaciones</w:t>
      </w:r>
      <w:r w:rsidR="00C31975">
        <w:rPr>
          <w:rFonts w:ascii="Arial" w:hAnsi="Arial" w:cs="Arial"/>
        </w:rPr>
        <w:t xml:space="preserve"> </w:t>
      </w:r>
      <w:r w:rsidR="002D32BC">
        <w:rPr>
          <w:rFonts w:ascii="Arial" w:hAnsi="Arial" w:cs="Arial"/>
        </w:rPr>
        <w:t xml:space="preserve">0:60, 10:50, </w:t>
      </w:r>
      <w:r w:rsidR="00C31975">
        <w:rPr>
          <w:rFonts w:ascii="Arial" w:hAnsi="Arial" w:cs="Arial"/>
        </w:rPr>
        <w:t>20:40</w:t>
      </w:r>
      <w:r w:rsidR="002D32BC">
        <w:rPr>
          <w:rFonts w:ascii="Arial" w:hAnsi="Arial" w:cs="Arial"/>
        </w:rPr>
        <w:t>,</w:t>
      </w:r>
      <w:r w:rsidR="00C31975">
        <w:rPr>
          <w:rFonts w:ascii="Arial" w:hAnsi="Arial" w:cs="Arial"/>
        </w:rPr>
        <w:t xml:space="preserve"> 30:30</w:t>
      </w:r>
      <w:r w:rsidR="002D32BC">
        <w:rPr>
          <w:rFonts w:ascii="Arial" w:hAnsi="Arial" w:cs="Arial"/>
        </w:rPr>
        <w:t>,</w:t>
      </w:r>
      <w:r w:rsidR="00C31975">
        <w:rPr>
          <w:rFonts w:ascii="Arial" w:hAnsi="Arial" w:cs="Arial"/>
        </w:rPr>
        <w:t xml:space="preserve"> 40:20</w:t>
      </w:r>
      <w:r w:rsidR="002D32BC">
        <w:rPr>
          <w:rFonts w:ascii="Arial" w:hAnsi="Arial" w:cs="Arial"/>
        </w:rPr>
        <w:t>,</w:t>
      </w:r>
      <w:r w:rsidR="00C31975">
        <w:rPr>
          <w:rFonts w:ascii="Arial" w:hAnsi="Arial" w:cs="Arial"/>
        </w:rPr>
        <w:t xml:space="preserve"> 50:10</w:t>
      </w:r>
      <w:r w:rsidR="002D32BC">
        <w:rPr>
          <w:rFonts w:ascii="Arial" w:hAnsi="Arial" w:cs="Arial"/>
        </w:rPr>
        <w:t xml:space="preserve"> y</w:t>
      </w:r>
      <w:r w:rsidR="00C31975">
        <w:rPr>
          <w:rFonts w:ascii="Arial" w:hAnsi="Arial" w:cs="Arial"/>
        </w:rPr>
        <w:t xml:space="preserve"> 60:0</w:t>
      </w:r>
      <w:r w:rsidR="00B60653">
        <w:rPr>
          <w:rFonts w:ascii="Arial" w:hAnsi="Arial" w:cs="Arial"/>
        </w:rPr>
        <w:t>. E</w:t>
      </w:r>
      <w:r w:rsidR="008775BC">
        <w:rPr>
          <w:rFonts w:ascii="Arial" w:hAnsi="Arial" w:cs="Arial"/>
        </w:rPr>
        <w:t>l</w:t>
      </w:r>
      <w:r w:rsidR="00B60653">
        <w:rPr>
          <w:rFonts w:ascii="Arial" w:hAnsi="Arial" w:cs="Arial"/>
        </w:rPr>
        <w:t xml:space="preserve"> medio de cultivo fue adicionado con</w:t>
      </w:r>
      <w:r w:rsidR="00C31975" w:rsidRPr="00516401">
        <w:rPr>
          <w:rFonts w:ascii="Arial" w:hAnsi="Arial" w:cs="Arial"/>
        </w:rPr>
        <w:t xml:space="preserve"> </w:t>
      </w:r>
      <w:r w:rsidR="00C31975">
        <w:rPr>
          <w:rFonts w:ascii="Arial" w:hAnsi="Arial" w:cs="Arial"/>
        </w:rPr>
        <w:t xml:space="preserve">dos concentraciones de </w:t>
      </w:r>
      <w:r w:rsidR="00C31975" w:rsidRPr="00516401">
        <w:rPr>
          <w:rFonts w:ascii="Arial" w:hAnsi="Arial" w:cs="Arial"/>
        </w:rPr>
        <w:t xml:space="preserve">sacarosa </w:t>
      </w:r>
      <w:r w:rsidR="00C31975">
        <w:rPr>
          <w:rFonts w:ascii="Arial" w:hAnsi="Arial" w:cs="Arial"/>
        </w:rPr>
        <w:t xml:space="preserve">(15 y </w:t>
      </w:r>
      <w:r w:rsidR="00C31975" w:rsidRPr="00516401">
        <w:rPr>
          <w:rFonts w:ascii="Arial" w:hAnsi="Arial" w:cs="Arial"/>
        </w:rPr>
        <w:t>30 gr·L</w:t>
      </w:r>
      <w:r w:rsidR="00C31975" w:rsidRPr="00516401">
        <w:rPr>
          <w:rFonts w:ascii="Arial" w:hAnsi="Arial" w:cs="Arial"/>
          <w:vertAlign w:val="superscript"/>
        </w:rPr>
        <w:t>-1</w:t>
      </w:r>
      <w:r w:rsidR="00C31975">
        <w:rPr>
          <w:rFonts w:ascii="Arial" w:hAnsi="Arial" w:cs="Arial"/>
        </w:rPr>
        <w:t>)</w:t>
      </w:r>
      <w:r w:rsidR="002D32BC">
        <w:rPr>
          <w:rFonts w:ascii="Arial" w:hAnsi="Arial" w:cs="Arial"/>
        </w:rPr>
        <w:t xml:space="preserve">. Asimismo, </w:t>
      </w:r>
      <w:r w:rsidR="00B60653">
        <w:rPr>
          <w:rFonts w:ascii="Arial" w:hAnsi="Arial" w:cs="Arial"/>
        </w:rPr>
        <w:t xml:space="preserve">medios que contenían </w:t>
      </w:r>
      <w:r w:rsidR="002D32BC">
        <w:rPr>
          <w:rFonts w:ascii="Arial" w:hAnsi="Arial" w:cs="Arial"/>
        </w:rPr>
        <w:t>l</w:t>
      </w:r>
      <w:r w:rsidR="00C31975">
        <w:rPr>
          <w:rFonts w:ascii="Arial" w:hAnsi="Arial" w:cs="Arial"/>
        </w:rPr>
        <w:t xml:space="preserve">as relaciones </w:t>
      </w:r>
      <w:r w:rsidR="002D32BC" w:rsidRPr="005C11A5">
        <w:rPr>
          <w:rFonts w:ascii="Arial" w:hAnsi="Arial" w:cs="Arial"/>
        </w:rPr>
        <w:t>NH</w:t>
      </w:r>
      <w:r w:rsidR="002D32BC" w:rsidRPr="005C11A5">
        <w:rPr>
          <w:rFonts w:ascii="Arial" w:hAnsi="Arial" w:cs="Arial"/>
          <w:vertAlign w:val="subscript"/>
        </w:rPr>
        <w:t>4</w:t>
      </w:r>
      <w:r w:rsidR="002D32BC" w:rsidRPr="005C11A5">
        <w:rPr>
          <w:rFonts w:ascii="Arial" w:hAnsi="Arial" w:cs="Arial"/>
          <w:vertAlign w:val="superscript"/>
        </w:rPr>
        <w:t>+</w:t>
      </w:r>
      <w:r w:rsidR="002D32BC">
        <w:rPr>
          <w:rFonts w:ascii="Arial" w:hAnsi="Arial" w:cs="Arial"/>
        </w:rPr>
        <w:t>:</w:t>
      </w:r>
      <w:r w:rsidR="002D32BC" w:rsidRPr="005C11A5">
        <w:rPr>
          <w:rFonts w:ascii="Arial" w:hAnsi="Arial" w:cs="Arial"/>
        </w:rPr>
        <w:t>NO</w:t>
      </w:r>
      <w:r w:rsidR="002D32BC" w:rsidRPr="005C11A5">
        <w:rPr>
          <w:rFonts w:ascii="Arial" w:hAnsi="Arial" w:cs="Arial"/>
          <w:vertAlign w:val="subscript"/>
        </w:rPr>
        <w:t>3</w:t>
      </w:r>
      <w:r w:rsidR="002D32BC" w:rsidRPr="005C11A5">
        <w:rPr>
          <w:rFonts w:ascii="Arial" w:hAnsi="Arial" w:cs="Arial"/>
          <w:vertAlign w:val="superscript"/>
        </w:rPr>
        <w:t>-</w:t>
      </w:r>
      <w:r w:rsidR="002D32BC">
        <w:rPr>
          <w:rFonts w:ascii="Arial" w:hAnsi="Arial" w:cs="Arial"/>
        </w:rPr>
        <w:t xml:space="preserve"> </w:t>
      </w:r>
      <w:r w:rsidR="00C31975">
        <w:rPr>
          <w:rFonts w:ascii="Arial" w:hAnsi="Arial" w:cs="Arial"/>
        </w:rPr>
        <w:t xml:space="preserve">20:40 y 10:50 fueron </w:t>
      </w:r>
      <w:r w:rsidR="00B60653">
        <w:rPr>
          <w:rFonts w:ascii="Arial" w:hAnsi="Arial" w:cs="Arial"/>
        </w:rPr>
        <w:t xml:space="preserve">a su vez </w:t>
      </w:r>
      <w:r w:rsidR="00C31975">
        <w:rPr>
          <w:rFonts w:ascii="Arial" w:hAnsi="Arial" w:cs="Arial"/>
        </w:rPr>
        <w:t>suplementad</w:t>
      </w:r>
      <w:r w:rsidR="00B60653">
        <w:rPr>
          <w:rFonts w:ascii="Arial" w:hAnsi="Arial" w:cs="Arial"/>
        </w:rPr>
        <w:t>o</w:t>
      </w:r>
      <w:r w:rsidR="00C31975">
        <w:rPr>
          <w:rFonts w:ascii="Arial" w:hAnsi="Arial" w:cs="Arial"/>
        </w:rPr>
        <w:t>s con</w:t>
      </w:r>
      <w:r w:rsidR="009A113C">
        <w:rPr>
          <w:rFonts w:ascii="Arial" w:hAnsi="Arial" w:cs="Arial"/>
        </w:rPr>
        <w:t xml:space="preserve"> </w:t>
      </w:r>
      <w:proofErr w:type="spellStart"/>
      <w:r w:rsidR="009A113C">
        <w:rPr>
          <w:rFonts w:ascii="Arial" w:hAnsi="Arial" w:cs="Arial"/>
        </w:rPr>
        <w:t>bencilaminopurina</w:t>
      </w:r>
      <w:proofErr w:type="spellEnd"/>
      <w:r w:rsidR="009A113C" w:rsidRPr="00516401">
        <w:rPr>
          <w:rFonts w:ascii="Arial" w:hAnsi="Arial" w:cs="Arial"/>
        </w:rPr>
        <w:t xml:space="preserve"> </w:t>
      </w:r>
      <w:r w:rsidR="00C31975">
        <w:rPr>
          <w:rFonts w:ascii="Arial" w:hAnsi="Arial" w:cs="Arial"/>
        </w:rPr>
        <w:t>0,1mg</w:t>
      </w:r>
      <w:r w:rsidR="002D32BC">
        <w:rPr>
          <w:rFonts w:ascii="Arial" w:hAnsi="Arial" w:cs="Arial"/>
        </w:rPr>
        <w:t>·</w:t>
      </w:r>
      <w:r w:rsidR="00C31975">
        <w:rPr>
          <w:rFonts w:ascii="Arial" w:hAnsi="Arial" w:cs="Arial"/>
        </w:rPr>
        <w:t>L</w:t>
      </w:r>
      <w:r w:rsidR="00C31975" w:rsidRPr="00C31975">
        <w:rPr>
          <w:rFonts w:ascii="Arial" w:hAnsi="Arial" w:cs="Arial"/>
          <w:vertAlign w:val="superscript"/>
        </w:rPr>
        <w:t>-1</w:t>
      </w:r>
      <w:r w:rsidR="00C31975">
        <w:rPr>
          <w:rFonts w:ascii="Arial" w:hAnsi="Arial" w:cs="Arial"/>
        </w:rPr>
        <w:t>.</w:t>
      </w:r>
      <w:r w:rsidR="00C31975" w:rsidRPr="00C31975">
        <w:rPr>
          <w:rFonts w:ascii="Arial" w:hAnsi="Arial" w:cs="Arial"/>
        </w:rPr>
        <w:t xml:space="preserve"> </w:t>
      </w:r>
      <w:r w:rsidR="00C31975" w:rsidRPr="00516401">
        <w:rPr>
          <w:rFonts w:ascii="Arial" w:hAnsi="Arial" w:cs="Arial"/>
        </w:rPr>
        <w:t>Los cultivos fueron incubados</w:t>
      </w:r>
      <w:r w:rsidR="00C31975">
        <w:rPr>
          <w:rFonts w:ascii="Arial" w:hAnsi="Arial" w:cs="Arial"/>
        </w:rPr>
        <w:t xml:space="preserve"> </w:t>
      </w:r>
      <w:r w:rsidR="00C31975" w:rsidRPr="00516401">
        <w:rPr>
          <w:rFonts w:ascii="Arial" w:hAnsi="Arial" w:cs="Arial"/>
        </w:rPr>
        <w:t>en condiciones de luz (</w:t>
      </w:r>
      <w:proofErr w:type="spellStart"/>
      <w:r w:rsidR="00C31975" w:rsidRPr="00516401">
        <w:rPr>
          <w:rFonts w:ascii="Arial" w:hAnsi="Arial" w:cs="Arial"/>
        </w:rPr>
        <w:t>fotoperíodo</w:t>
      </w:r>
      <w:proofErr w:type="spellEnd"/>
      <w:r w:rsidR="00C31975" w:rsidRPr="00516401">
        <w:rPr>
          <w:rFonts w:ascii="Arial" w:hAnsi="Arial" w:cs="Arial"/>
        </w:rPr>
        <w:t xml:space="preserve">: 14 h, PAR: 116 </w:t>
      </w:r>
      <w:r w:rsidR="00C31975" w:rsidRPr="00516401">
        <w:rPr>
          <w:rFonts w:ascii="Arial" w:hAnsi="Arial" w:cs="Arial"/>
        </w:rPr>
        <w:sym w:font="Symbol" w:char="F06D"/>
      </w:r>
      <w:r w:rsidR="00C31975" w:rsidRPr="00516401">
        <w:rPr>
          <w:rFonts w:ascii="Arial" w:hAnsi="Arial" w:cs="Arial"/>
        </w:rPr>
        <w:t>mol·m</w:t>
      </w:r>
      <w:r w:rsidR="00C31975" w:rsidRPr="00516401">
        <w:rPr>
          <w:rFonts w:ascii="Arial" w:hAnsi="Arial" w:cs="Arial"/>
          <w:vertAlign w:val="superscript"/>
        </w:rPr>
        <w:t>-2</w:t>
      </w:r>
      <w:r w:rsidR="00C31975" w:rsidRPr="00516401">
        <w:rPr>
          <w:rFonts w:ascii="Arial" w:hAnsi="Arial" w:cs="Arial"/>
        </w:rPr>
        <w:t>·s</w:t>
      </w:r>
      <w:r w:rsidR="00C31975" w:rsidRPr="00516401">
        <w:rPr>
          <w:rFonts w:ascii="Arial" w:hAnsi="Arial" w:cs="Arial"/>
          <w:vertAlign w:val="superscript"/>
        </w:rPr>
        <w:t>-1</w:t>
      </w:r>
      <w:r w:rsidR="00C31975" w:rsidRPr="00516401">
        <w:rPr>
          <w:rFonts w:ascii="Arial" w:hAnsi="Arial" w:cs="Arial"/>
        </w:rPr>
        <w:t>)</w:t>
      </w:r>
      <w:r w:rsidR="003A66F6">
        <w:rPr>
          <w:rFonts w:ascii="Arial" w:hAnsi="Arial" w:cs="Arial"/>
          <w:vertAlign w:val="superscript"/>
        </w:rPr>
        <w:t xml:space="preserve"> </w:t>
      </w:r>
      <w:r w:rsidR="00C31975" w:rsidRPr="00516401">
        <w:rPr>
          <w:rFonts w:ascii="Arial" w:hAnsi="Arial" w:cs="Arial"/>
        </w:rPr>
        <w:t>y temperatura (27</w:t>
      </w:r>
      <w:r w:rsidR="00C31975" w:rsidRPr="00516401">
        <w:rPr>
          <w:rFonts w:ascii="Arial" w:hAnsi="Arial" w:cs="Arial"/>
        </w:rPr>
        <w:sym w:font="Symbol" w:char="F0B1"/>
      </w:r>
      <w:r w:rsidR="00C31975" w:rsidRPr="00516401">
        <w:rPr>
          <w:rFonts w:ascii="Arial" w:hAnsi="Arial" w:cs="Arial"/>
        </w:rPr>
        <w:t xml:space="preserve">2 </w:t>
      </w:r>
      <w:r w:rsidR="00C31975" w:rsidRPr="00516401">
        <w:rPr>
          <w:rFonts w:ascii="Arial" w:hAnsi="Arial" w:cs="Arial"/>
        </w:rPr>
        <w:sym w:font="Symbol" w:char="F0B0"/>
      </w:r>
      <w:r w:rsidR="00C31975" w:rsidRPr="00516401">
        <w:rPr>
          <w:rFonts w:ascii="Arial" w:hAnsi="Arial" w:cs="Arial"/>
        </w:rPr>
        <w:t>C) controlada</w:t>
      </w:r>
      <w:r w:rsidR="008775BC">
        <w:rPr>
          <w:rFonts w:ascii="Arial" w:hAnsi="Arial" w:cs="Arial"/>
        </w:rPr>
        <w:t xml:space="preserve">; empleándose un tiempo de inmersión de 1 min y una frecuencia de 4 </w:t>
      </w:r>
      <w:proofErr w:type="spellStart"/>
      <w:r w:rsidR="008775BC">
        <w:rPr>
          <w:rFonts w:ascii="Arial" w:hAnsi="Arial" w:cs="Arial"/>
        </w:rPr>
        <w:t>hs</w:t>
      </w:r>
      <w:proofErr w:type="spellEnd"/>
      <w:r w:rsidR="008775BC">
        <w:rPr>
          <w:rFonts w:ascii="Arial" w:hAnsi="Arial" w:cs="Arial"/>
        </w:rPr>
        <w:t>.</w:t>
      </w:r>
      <w:r w:rsidR="00C31975">
        <w:rPr>
          <w:rFonts w:ascii="Arial" w:hAnsi="Arial" w:cs="Arial"/>
        </w:rPr>
        <w:t xml:space="preserve"> </w:t>
      </w:r>
    </w:p>
    <w:p w:rsidR="005C11A5" w:rsidRDefault="0042181C" w:rsidP="00F266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Transcurridos 40 días de incubación pudo observarse que las distintas proporciones iónicas estudiadas no evidenciaron una mejora en los parámetros evaluados respecto a la relación original 20:40. Si bien, un mayor nivel de sacarosa </w:t>
      </w:r>
      <w:r w:rsidR="006C067D">
        <w:rPr>
          <w:rFonts w:ascii="Arial" w:hAnsi="Arial" w:cs="Arial"/>
        </w:rPr>
        <w:t>(</w:t>
      </w:r>
      <w:r w:rsidR="006C067D" w:rsidRPr="00516401">
        <w:rPr>
          <w:rFonts w:ascii="Arial" w:hAnsi="Arial" w:cs="Arial"/>
        </w:rPr>
        <w:t>30 gr·L</w:t>
      </w:r>
      <w:r w:rsidR="006C067D" w:rsidRPr="00516401">
        <w:rPr>
          <w:rFonts w:ascii="Arial" w:hAnsi="Arial" w:cs="Arial"/>
          <w:vertAlign w:val="superscript"/>
        </w:rPr>
        <w:t>-</w:t>
      </w:r>
      <w:r w:rsidR="006C067D">
        <w:rPr>
          <w:rFonts w:ascii="Arial" w:hAnsi="Arial" w:cs="Arial"/>
          <w:vertAlign w:val="superscript"/>
        </w:rPr>
        <w:t>1</w:t>
      </w:r>
      <w:r w:rsidR="006C067D">
        <w:rPr>
          <w:rFonts w:ascii="Arial" w:hAnsi="Arial" w:cs="Arial"/>
        </w:rPr>
        <w:t>),</w:t>
      </w:r>
      <w:r w:rsidR="006C067D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determinó un incremento del número de brotes diferenciados por </w:t>
      </w:r>
      <w:proofErr w:type="spellStart"/>
      <w:r>
        <w:rPr>
          <w:rFonts w:ascii="Arial" w:hAnsi="Arial" w:cs="Arial"/>
        </w:rPr>
        <w:t>explante</w:t>
      </w:r>
      <w:proofErr w:type="spellEnd"/>
      <w:r>
        <w:rPr>
          <w:rFonts w:ascii="Arial" w:hAnsi="Arial" w:cs="Arial"/>
        </w:rPr>
        <w:t xml:space="preserve"> y un mayor número de hojas, </w:t>
      </w:r>
      <w:r w:rsidR="006C067D">
        <w:rPr>
          <w:rFonts w:ascii="Arial" w:hAnsi="Arial" w:cs="Arial"/>
        </w:rPr>
        <w:t>aumentó</w:t>
      </w:r>
      <w:r>
        <w:rPr>
          <w:rFonts w:ascii="Arial" w:hAnsi="Arial" w:cs="Arial"/>
        </w:rPr>
        <w:t xml:space="preserve"> la tasa de vitrificación (16,8±</w:t>
      </w:r>
      <w:r w:rsidRPr="009C13D6">
        <w:rPr>
          <w:rFonts w:ascii="Arial" w:hAnsi="Arial" w:cs="Arial"/>
        </w:rPr>
        <w:t>7,</w:t>
      </w:r>
      <w:r>
        <w:rPr>
          <w:rFonts w:ascii="Arial" w:hAnsi="Arial" w:cs="Arial"/>
        </w:rPr>
        <w:t>3%)</w:t>
      </w:r>
      <w:r w:rsidR="001C63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causando severos desórdenes fisiológicos que comprometen la calidad y sobrevivencia de las vitroplantas. </w:t>
      </w:r>
      <w:r w:rsidR="006C067D">
        <w:rPr>
          <w:rFonts w:ascii="Arial" w:hAnsi="Arial" w:cs="Arial"/>
        </w:rPr>
        <w:t>El uso de MS/2 con idéntica concentración de sacarosa estimula el alargamiento del tallo principal (</w:t>
      </w:r>
      <w:r w:rsidR="006C067D" w:rsidRPr="009C13D6">
        <w:rPr>
          <w:rFonts w:ascii="Arial" w:hAnsi="Arial" w:cs="Arial"/>
        </w:rPr>
        <w:t>17,2</w:t>
      </w:r>
      <w:r w:rsidR="006C067D">
        <w:rPr>
          <w:rFonts w:ascii="Arial" w:hAnsi="Arial" w:cs="Arial"/>
        </w:rPr>
        <w:t>±</w:t>
      </w:r>
      <w:r w:rsidR="006C067D" w:rsidRPr="009C13D6">
        <w:rPr>
          <w:rFonts w:ascii="Arial" w:hAnsi="Arial" w:cs="Arial"/>
        </w:rPr>
        <w:t>8,3</w:t>
      </w:r>
      <w:r w:rsidR="006C067D">
        <w:rPr>
          <w:rFonts w:ascii="Arial" w:hAnsi="Arial" w:cs="Arial"/>
        </w:rPr>
        <w:t xml:space="preserve"> mm), sin desencadenar el proceso deletéreo de </w:t>
      </w:r>
      <w:proofErr w:type="spellStart"/>
      <w:r w:rsidR="006C067D">
        <w:rPr>
          <w:rFonts w:ascii="Arial" w:hAnsi="Arial" w:cs="Arial"/>
        </w:rPr>
        <w:t>hiperhidratación</w:t>
      </w:r>
      <w:proofErr w:type="spellEnd"/>
      <w:r w:rsidR="006C067D">
        <w:rPr>
          <w:rFonts w:ascii="Arial" w:hAnsi="Arial" w:cs="Arial"/>
        </w:rPr>
        <w:t xml:space="preserve">. La ausencia de vitrificación favoreció la formación de brotes vigorosos aptos para las siguientes fases de la micropropagación. </w:t>
      </w:r>
    </w:p>
    <w:p w:rsidR="005C11A5" w:rsidRPr="005C11A5" w:rsidRDefault="005C11A5" w:rsidP="008826E6">
      <w:pPr>
        <w:spacing w:after="0" w:line="480" w:lineRule="auto"/>
        <w:jc w:val="both"/>
        <w:rPr>
          <w:rFonts w:ascii="Arial" w:hAnsi="Arial" w:cs="Arial"/>
        </w:rPr>
      </w:pPr>
    </w:p>
    <w:sectPr w:rsidR="005C11A5" w:rsidRPr="005C11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AE"/>
    <w:rsid w:val="00055DA7"/>
    <w:rsid w:val="000A5B39"/>
    <w:rsid w:val="000A6838"/>
    <w:rsid w:val="00180C99"/>
    <w:rsid w:val="001C632D"/>
    <w:rsid w:val="002233AE"/>
    <w:rsid w:val="002976AE"/>
    <w:rsid w:val="002D32BC"/>
    <w:rsid w:val="0033110C"/>
    <w:rsid w:val="00337433"/>
    <w:rsid w:val="00344B98"/>
    <w:rsid w:val="00364239"/>
    <w:rsid w:val="0038003B"/>
    <w:rsid w:val="00397212"/>
    <w:rsid w:val="003A23DD"/>
    <w:rsid w:val="003A66F6"/>
    <w:rsid w:val="00404B2C"/>
    <w:rsid w:val="0042181C"/>
    <w:rsid w:val="004322F6"/>
    <w:rsid w:val="00433CE1"/>
    <w:rsid w:val="00457A2E"/>
    <w:rsid w:val="004E1F98"/>
    <w:rsid w:val="004E4EE0"/>
    <w:rsid w:val="00516401"/>
    <w:rsid w:val="00555438"/>
    <w:rsid w:val="005C11A5"/>
    <w:rsid w:val="005F7B66"/>
    <w:rsid w:val="00635321"/>
    <w:rsid w:val="00685ADC"/>
    <w:rsid w:val="006C067D"/>
    <w:rsid w:val="006D18E6"/>
    <w:rsid w:val="0072659C"/>
    <w:rsid w:val="00747F31"/>
    <w:rsid w:val="00773571"/>
    <w:rsid w:val="007F1F7A"/>
    <w:rsid w:val="008775BC"/>
    <w:rsid w:val="008826E6"/>
    <w:rsid w:val="00966B66"/>
    <w:rsid w:val="00993E81"/>
    <w:rsid w:val="009A113C"/>
    <w:rsid w:val="009C13D6"/>
    <w:rsid w:val="00A117EC"/>
    <w:rsid w:val="00A81BB8"/>
    <w:rsid w:val="00B56A1C"/>
    <w:rsid w:val="00B60653"/>
    <w:rsid w:val="00B72DB1"/>
    <w:rsid w:val="00B95C73"/>
    <w:rsid w:val="00BD3F65"/>
    <w:rsid w:val="00BE74F7"/>
    <w:rsid w:val="00C179AE"/>
    <w:rsid w:val="00C31975"/>
    <w:rsid w:val="00C54B0C"/>
    <w:rsid w:val="00C65EB5"/>
    <w:rsid w:val="00C67AAC"/>
    <w:rsid w:val="00C81A1A"/>
    <w:rsid w:val="00CA428F"/>
    <w:rsid w:val="00D65E0A"/>
    <w:rsid w:val="00D66867"/>
    <w:rsid w:val="00D943A0"/>
    <w:rsid w:val="00DD124C"/>
    <w:rsid w:val="00E667FB"/>
    <w:rsid w:val="00F17F4C"/>
    <w:rsid w:val="00F2663B"/>
    <w:rsid w:val="00F32296"/>
    <w:rsid w:val="00F439A7"/>
    <w:rsid w:val="00F54AB2"/>
    <w:rsid w:val="00FD58C1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26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2659C"/>
    <w:rPr>
      <w:rFonts w:ascii="Courier New" w:eastAsia="Times New Roman" w:hAnsi="Courier New" w:cs="Courier New"/>
      <w:sz w:val="20"/>
      <w:szCs w:val="20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26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2659C"/>
    <w:rPr>
      <w:rFonts w:ascii="Courier New" w:eastAsia="Times New Roman" w:hAnsi="Courier New" w:cs="Courier New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Zona-Ac</dc:creator>
  <cp:lastModifiedBy>Alejandro Salvio Escandon</cp:lastModifiedBy>
  <cp:revision>2</cp:revision>
  <cp:lastPrinted>2017-07-05T19:50:00Z</cp:lastPrinted>
  <dcterms:created xsi:type="dcterms:W3CDTF">2017-07-07T17:15:00Z</dcterms:created>
  <dcterms:modified xsi:type="dcterms:W3CDTF">2017-07-07T17:15:00Z</dcterms:modified>
</cp:coreProperties>
</file>