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C631" w14:textId="77777777" w:rsidR="008D2675" w:rsidRDefault="008D2675" w:rsidP="008D267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SAT1</w:t>
      </w:r>
    </w:p>
    <w:p w14:paraId="206F4CD8" w14:textId="7D260171" w:rsidR="00210B7E" w:rsidRPr="009F4A3E" w:rsidRDefault="00210B7E" w:rsidP="00BA30A9">
      <w:pPr>
        <w:spacing w:after="0" w:line="240" w:lineRule="auto"/>
        <w:jc w:val="center"/>
        <w:rPr>
          <w:rFonts w:ascii="Arial" w:hAnsi="Arial" w:cs="Arial"/>
          <w:b/>
        </w:rPr>
      </w:pPr>
      <w:r w:rsidRPr="009F4A3E">
        <w:rPr>
          <w:rFonts w:ascii="Arial" w:hAnsi="Arial" w:cs="Arial"/>
          <w:b/>
        </w:rPr>
        <w:t xml:space="preserve">Estrategias para el desarrollo </w:t>
      </w:r>
      <w:bookmarkStart w:id="0" w:name="_GoBack"/>
      <w:bookmarkEnd w:id="0"/>
      <w:r w:rsidRPr="009F4A3E">
        <w:rPr>
          <w:rFonts w:ascii="Arial" w:hAnsi="Arial" w:cs="Arial"/>
          <w:b/>
        </w:rPr>
        <w:t>de trigos con menor poder inmunogénico para la enfermedad celiaca</w:t>
      </w:r>
    </w:p>
    <w:p w14:paraId="68E3CB64" w14:textId="77777777" w:rsidR="00C442D1" w:rsidRPr="009F4A3E" w:rsidRDefault="00C442D1" w:rsidP="00BA30A9">
      <w:pPr>
        <w:spacing w:after="0" w:line="240" w:lineRule="auto"/>
        <w:jc w:val="center"/>
        <w:rPr>
          <w:rFonts w:ascii="Arial" w:hAnsi="Arial" w:cs="Arial"/>
          <w:b/>
        </w:rPr>
      </w:pPr>
    </w:p>
    <w:p w14:paraId="05FE9BC4" w14:textId="168D6CC2" w:rsidR="00BB2193" w:rsidRDefault="00ED78D6" w:rsidP="0036631B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9F4A3E">
        <w:rPr>
          <w:rFonts w:ascii="Arial" w:hAnsi="Arial" w:cs="Arial"/>
        </w:rPr>
        <w:t>Vanzetti, L.</w:t>
      </w:r>
      <w:r w:rsidR="005C328F">
        <w:rPr>
          <w:rFonts w:ascii="Arial" w:hAnsi="Arial" w:cs="Arial"/>
          <w:vertAlign w:val="superscript"/>
        </w:rPr>
        <w:t>1</w:t>
      </w:r>
      <w:proofErr w:type="gramStart"/>
      <w:r w:rsidR="008D2675">
        <w:rPr>
          <w:rFonts w:ascii="Arial" w:hAnsi="Arial" w:cs="Arial"/>
          <w:vertAlign w:val="superscript"/>
        </w:rPr>
        <w:t>;</w:t>
      </w:r>
      <w:r w:rsidR="005C328F">
        <w:rPr>
          <w:rFonts w:ascii="Arial" w:hAnsi="Arial" w:cs="Arial"/>
          <w:vertAlign w:val="superscript"/>
        </w:rPr>
        <w:t>2</w:t>
      </w:r>
      <w:proofErr w:type="gramEnd"/>
      <w:r w:rsidRPr="009F4A3E">
        <w:rPr>
          <w:rFonts w:ascii="Arial" w:hAnsi="Arial" w:cs="Arial"/>
        </w:rPr>
        <w:t xml:space="preserve">; </w:t>
      </w:r>
      <w:r w:rsidR="00BA30A9" w:rsidRPr="009F4A3E">
        <w:rPr>
          <w:rFonts w:ascii="Arial" w:hAnsi="Arial" w:cs="Arial"/>
        </w:rPr>
        <w:t>Bonafede</w:t>
      </w:r>
      <w:r w:rsidR="000419D4" w:rsidRPr="009F4A3E">
        <w:rPr>
          <w:rFonts w:ascii="Arial" w:hAnsi="Arial" w:cs="Arial"/>
        </w:rPr>
        <w:t>, M.</w:t>
      </w:r>
      <w:r w:rsidR="005C328F">
        <w:rPr>
          <w:rFonts w:ascii="Arial" w:hAnsi="Arial" w:cs="Arial"/>
          <w:vertAlign w:val="superscript"/>
        </w:rPr>
        <w:t>3</w:t>
      </w:r>
      <w:r w:rsidR="000419D4" w:rsidRPr="009F4A3E">
        <w:rPr>
          <w:rFonts w:ascii="Arial" w:hAnsi="Arial" w:cs="Arial"/>
        </w:rPr>
        <w:t xml:space="preserve">; </w:t>
      </w:r>
      <w:proofErr w:type="spellStart"/>
      <w:r w:rsidR="00FF16C2">
        <w:rPr>
          <w:rFonts w:ascii="Arial" w:hAnsi="Arial" w:cs="Arial"/>
        </w:rPr>
        <w:t>Guidobaldi</w:t>
      </w:r>
      <w:proofErr w:type="spellEnd"/>
      <w:r w:rsidR="00FF16C2">
        <w:rPr>
          <w:rFonts w:ascii="Arial" w:hAnsi="Arial" w:cs="Arial"/>
        </w:rPr>
        <w:t>, F.</w:t>
      </w:r>
      <w:r w:rsidR="00FF16C2">
        <w:rPr>
          <w:rFonts w:ascii="Arial" w:hAnsi="Arial" w:cs="Arial"/>
          <w:vertAlign w:val="superscript"/>
        </w:rPr>
        <w:t>2</w:t>
      </w:r>
      <w:r w:rsidR="00FF16C2">
        <w:rPr>
          <w:rFonts w:ascii="Arial" w:hAnsi="Arial" w:cs="Arial"/>
        </w:rPr>
        <w:t xml:space="preserve">; </w:t>
      </w:r>
      <w:proofErr w:type="spellStart"/>
      <w:r w:rsidR="00FF16C2">
        <w:rPr>
          <w:rFonts w:ascii="Arial" w:hAnsi="Arial" w:cs="Arial"/>
        </w:rPr>
        <w:t>Crescente</w:t>
      </w:r>
      <w:proofErr w:type="spellEnd"/>
      <w:r w:rsidR="00FF16C2">
        <w:rPr>
          <w:rFonts w:ascii="Arial" w:hAnsi="Arial" w:cs="Arial"/>
        </w:rPr>
        <w:t xml:space="preserve"> J.M.</w:t>
      </w:r>
      <w:r w:rsidR="00FF16C2">
        <w:rPr>
          <w:rFonts w:ascii="Arial" w:hAnsi="Arial" w:cs="Arial"/>
          <w:vertAlign w:val="superscript"/>
        </w:rPr>
        <w:t>2</w:t>
      </w:r>
      <w:r w:rsidR="00FF16C2">
        <w:rPr>
          <w:rFonts w:ascii="Arial" w:hAnsi="Arial" w:cs="Arial"/>
        </w:rPr>
        <w:t xml:space="preserve">; </w:t>
      </w:r>
      <w:r w:rsidR="000419D4" w:rsidRPr="009F4A3E">
        <w:rPr>
          <w:rFonts w:ascii="Arial" w:hAnsi="Arial" w:cs="Arial"/>
        </w:rPr>
        <w:t>Galván, C.</w:t>
      </w:r>
      <w:r w:rsidR="005C328F">
        <w:rPr>
          <w:rFonts w:ascii="Arial" w:hAnsi="Arial" w:cs="Arial"/>
          <w:vertAlign w:val="superscript"/>
        </w:rPr>
        <w:t>4</w:t>
      </w:r>
      <w:r w:rsidR="00B341CD">
        <w:rPr>
          <w:rFonts w:ascii="Arial" w:hAnsi="Arial" w:cs="Arial"/>
          <w:vertAlign w:val="superscript"/>
        </w:rPr>
        <w:t>5</w:t>
      </w:r>
      <w:r w:rsidR="000419D4" w:rsidRPr="009F4A3E">
        <w:rPr>
          <w:rFonts w:ascii="Arial" w:hAnsi="Arial" w:cs="Arial"/>
        </w:rPr>
        <w:t>;</w:t>
      </w:r>
      <w:r w:rsidR="00FF16C2">
        <w:rPr>
          <w:rFonts w:ascii="Arial" w:hAnsi="Arial" w:cs="Arial"/>
        </w:rPr>
        <w:t xml:space="preserve"> </w:t>
      </w:r>
      <w:proofErr w:type="spellStart"/>
      <w:r w:rsidR="00FF16C2">
        <w:rPr>
          <w:rFonts w:ascii="Arial" w:hAnsi="Arial" w:cs="Arial"/>
        </w:rPr>
        <w:t>Pesoa</w:t>
      </w:r>
      <w:proofErr w:type="spellEnd"/>
      <w:r w:rsidR="00FF16C2">
        <w:rPr>
          <w:rFonts w:ascii="Arial" w:hAnsi="Arial" w:cs="Arial"/>
        </w:rPr>
        <w:t>, S.;</w:t>
      </w:r>
      <w:r w:rsidR="000419D4" w:rsidRPr="009F4A3E">
        <w:rPr>
          <w:rFonts w:ascii="Arial" w:hAnsi="Arial" w:cs="Arial"/>
        </w:rPr>
        <w:t xml:space="preserve"> </w:t>
      </w:r>
      <w:proofErr w:type="spellStart"/>
      <w:r w:rsidR="000419D4" w:rsidRPr="009F4A3E">
        <w:rPr>
          <w:rFonts w:ascii="Arial" w:hAnsi="Arial" w:cs="Arial"/>
        </w:rPr>
        <w:t>Rinflerch</w:t>
      </w:r>
      <w:proofErr w:type="spellEnd"/>
      <w:r w:rsidR="000419D4" w:rsidRPr="009F4A3E">
        <w:rPr>
          <w:rFonts w:ascii="Arial" w:hAnsi="Arial" w:cs="Arial"/>
        </w:rPr>
        <w:t>, A.</w:t>
      </w:r>
      <w:r w:rsidR="00B341CD">
        <w:rPr>
          <w:rFonts w:ascii="Arial" w:hAnsi="Arial" w:cs="Arial"/>
          <w:vertAlign w:val="superscript"/>
        </w:rPr>
        <w:t>6</w:t>
      </w:r>
      <w:r w:rsidR="000419D4" w:rsidRPr="009F4A3E">
        <w:rPr>
          <w:rFonts w:ascii="Arial" w:hAnsi="Arial" w:cs="Arial"/>
        </w:rPr>
        <w:t xml:space="preserve">; </w:t>
      </w:r>
      <w:proofErr w:type="spellStart"/>
      <w:r w:rsidR="00FF16C2">
        <w:rPr>
          <w:rFonts w:ascii="Arial" w:hAnsi="Arial" w:cs="Arial"/>
        </w:rPr>
        <w:t>Giunta</w:t>
      </w:r>
      <w:proofErr w:type="spellEnd"/>
      <w:r w:rsidR="00FF16C2">
        <w:rPr>
          <w:rFonts w:ascii="Arial" w:hAnsi="Arial" w:cs="Arial"/>
        </w:rPr>
        <w:t>, D.</w:t>
      </w:r>
      <w:r w:rsidR="00586AB3">
        <w:rPr>
          <w:rFonts w:ascii="Arial" w:hAnsi="Arial" w:cs="Arial"/>
          <w:vertAlign w:val="superscript"/>
        </w:rPr>
        <w:t>7</w:t>
      </w:r>
      <w:r w:rsidR="00FF16C2">
        <w:rPr>
          <w:rFonts w:ascii="Arial" w:hAnsi="Arial" w:cs="Arial"/>
        </w:rPr>
        <w:t xml:space="preserve">; </w:t>
      </w:r>
      <w:r w:rsidR="000419D4" w:rsidRPr="009F4A3E">
        <w:rPr>
          <w:rFonts w:ascii="Arial" w:hAnsi="Arial" w:cs="Arial"/>
        </w:rPr>
        <w:t>Di</w:t>
      </w:r>
      <w:r w:rsidR="00BA30A9">
        <w:rPr>
          <w:rFonts w:ascii="Arial" w:hAnsi="Arial" w:cs="Arial"/>
        </w:rPr>
        <w:t xml:space="preserve"> </w:t>
      </w:r>
      <w:proofErr w:type="spellStart"/>
      <w:r w:rsidR="00BA30A9">
        <w:rPr>
          <w:rFonts w:ascii="Arial" w:hAnsi="Arial" w:cs="Arial"/>
        </w:rPr>
        <w:t>P</w:t>
      </w:r>
      <w:r w:rsidR="000419D4" w:rsidRPr="009F4A3E">
        <w:rPr>
          <w:rFonts w:ascii="Arial" w:hAnsi="Arial" w:cs="Arial"/>
        </w:rPr>
        <w:t>ane</w:t>
      </w:r>
      <w:proofErr w:type="spellEnd"/>
      <w:r w:rsidR="000419D4" w:rsidRPr="009F4A3E">
        <w:rPr>
          <w:rFonts w:ascii="Arial" w:hAnsi="Arial" w:cs="Arial"/>
        </w:rPr>
        <w:t>, F.</w:t>
      </w:r>
      <w:r w:rsidR="00586AB3">
        <w:rPr>
          <w:rFonts w:ascii="Arial" w:hAnsi="Arial" w:cs="Arial"/>
          <w:vertAlign w:val="superscript"/>
        </w:rPr>
        <w:t>8</w:t>
      </w:r>
      <w:r w:rsidR="000419D4" w:rsidRPr="009F4A3E">
        <w:rPr>
          <w:rFonts w:ascii="Arial" w:hAnsi="Arial" w:cs="Arial"/>
        </w:rPr>
        <w:t>;</w:t>
      </w:r>
      <w:r w:rsidR="00BA30A9">
        <w:rPr>
          <w:rFonts w:ascii="Arial" w:hAnsi="Arial" w:cs="Arial"/>
        </w:rPr>
        <w:t xml:space="preserve"> Puebla, A.</w:t>
      </w:r>
      <w:r w:rsidR="00586AB3">
        <w:rPr>
          <w:rFonts w:ascii="Arial" w:hAnsi="Arial" w:cs="Arial"/>
          <w:vertAlign w:val="superscript"/>
        </w:rPr>
        <w:t>9</w:t>
      </w:r>
      <w:r w:rsidR="00BA30A9">
        <w:rPr>
          <w:rFonts w:ascii="Arial" w:hAnsi="Arial" w:cs="Arial"/>
        </w:rPr>
        <w:t>; Paniego, N.</w:t>
      </w:r>
      <w:r w:rsidR="00586AB3">
        <w:rPr>
          <w:rFonts w:ascii="Arial" w:hAnsi="Arial" w:cs="Arial"/>
          <w:vertAlign w:val="superscript"/>
        </w:rPr>
        <w:t>9</w:t>
      </w:r>
      <w:r w:rsidR="008D2675">
        <w:rPr>
          <w:rFonts w:ascii="Arial" w:hAnsi="Arial" w:cs="Arial"/>
          <w:vertAlign w:val="superscript"/>
        </w:rPr>
        <w:t>;</w:t>
      </w:r>
      <w:r w:rsidR="00FF16C2">
        <w:rPr>
          <w:rFonts w:ascii="Arial" w:hAnsi="Arial" w:cs="Arial"/>
          <w:vertAlign w:val="superscript"/>
        </w:rPr>
        <w:t>2</w:t>
      </w:r>
      <w:r w:rsidR="00BA30A9">
        <w:rPr>
          <w:rFonts w:ascii="Arial" w:hAnsi="Arial" w:cs="Arial"/>
        </w:rPr>
        <w:t>;</w:t>
      </w:r>
      <w:r w:rsidR="000419D4" w:rsidRPr="009F4A3E">
        <w:rPr>
          <w:rFonts w:ascii="Arial" w:hAnsi="Arial" w:cs="Arial"/>
        </w:rPr>
        <w:t xml:space="preserve"> Helguera, M.</w:t>
      </w:r>
      <w:r w:rsidR="005C328F">
        <w:rPr>
          <w:rFonts w:ascii="Arial" w:hAnsi="Arial" w:cs="Arial"/>
          <w:vertAlign w:val="superscript"/>
        </w:rPr>
        <w:t>1</w:t>
      </w:r>
      <w:r w:rsidR="000419D4" w:rsidRPr="009F4A3E">
        <w:rPr>
          <w:rFonts w:ascii="Arial" w:hAnsi="Arial" w:cs="Arial"/>
        </w:rPr>
        <w:t xml:space="preserve">; </w:t>
      </w:r>
      <w:r w:rsidRPr="009F4A3E">
        <w:rPr>
          <w:rFonts w:ascii="Arial" w:hAnsi="Arial" w:cs="Arial"/>
        </w:rPr>
        <w:t>Tranquilli G.</w:t>
      </w:r>
      <w:r w:rsidR="005C328F">
        <w:rPr>
          <w:rFonts w:ascii="Arial" w:hAnsi="Arial" w:cs="Arial"/>
          <w:vertAlign w:val="superscript"/>
        </w:rPr>
        <w:t>3</w:t>
      </w:r>
    </w:p>
    <w:p w14:paraId="13AA58EA" w14:textId="3F2ADE4B" w:rsidR="00BB2193" w:rsidRPr="00FF16C2" w:rsidRDefault="00FF16C2" w:rsidP="0036631B">
      <w:pPr>
        <w:spacing w:after="0" w:line="240" w:lineRule="auto"/>
        <w:jc w:val="center"/>
        <w:rPr>
          <w:rFonts w:ascii="Arial" w:hAnsi="Arial" w:cs="Arial"/>
        </w:rPr>
      </w:pPr>
      <w:r w:rsidRPr="00FF16C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4A0D72" w:rsidRPr="00FF16C2">
        <w:rPr>
          <w:rFonts w:ascii="Arial" w:hAnsi="Arial" w:cs="Arial"/>
        </w:rPr>
        <w:t>INTA-Estación Experimental Marcos Juárez</w:t>
      </w:r>
      <w:r w:rsidR="00BA30A9" w:rsidRPr="00FF16C2">
        <w:rPr>
          <w:rFonts w:ascii="Arial" w:hAnsi="Arial" w:cs="Arial"/>
        </w:rPr>
        <w:t xml:space="preserve">.  </w:t>
      </w:r>
      <w:r w:rsidR="00AB5F36" w:rsidRPr="00FF16C2">
        <w:rPr>
          <w:rFonts w:ascii="Arial" w:hAnsi="Arial" w:cs="Arial"/>
        </w:rPr>
        <w:t xml:space="preserve">2) </w:t>
      </w:r>
      <w:r w:rsidR="00707165" w:rsidRPr="00FF16C2">
        <w:rPr>
          <w:rFonts w:ascii="Arial" w:hAnsi="Arial" w:cs="Arial"/>
        </w:rPr>
        <w:t>CONICET-Consejo N</w:t>
      </w:r>
      <w:r w:rsidR="004A0D72" w:rsidRPr="00FF16C2">
        <w:rPr>
          <w:rFonts w:ascii="Arial" w:hAnsi="Arial" w:cs="Arial"/>
        </w:rPr>
        <w:t>acional de Investigaciones Científicas y Técnicas</w:t>
      </w:r>
      <w:r w:rsidR="00AB5F36" w:rsidRPr="00FF16C2">
        <w:rPr>
          <w:rFonts w:ascii="Arial" w:hAnsi="Arial" w:cs="Arial"/>
        </w:rPr>
        <w:t xml:space="preserve">; 3) </w:t>
      </w:r>
      <w:r w:rsidR="004A0D72" w:rsidRPr="00FF16C2">
        <w:rPr>
          <w:rFonts w:ascii="Arial" w:hAnsi="Arial" w:cs="Arial"/>
        </w:rPr>
        <w:t>INTA-</w:t>
      </w:r>
      <w:r w:rsidR="00AB5F36" w:rsidRPr="00FF16C2">
        <w:rPr>
          <w:rFonts w:ascii="Arial" w:hAnsi="Arial" w:cs="Arial"/>
        </w:rPr>
        <w:t>Instituto de Recursos Biológicos</w:t>
      </w:r>
      <w:r w:rsidR="00BA30A9" w:rsidRPr="00FF16C2">
        <w:rPr>
          <w:rFonts w:ascii="Arial" w:hAnsi="Arial" w:cs="Arial"/>
        </w:rPr>
        <w:t>.</w:t>
      </w:r>
      <w:r w:rsidR="004A0D72" w:rsidRPr="00FF16C2">
        <w:rPr>
          <w:rFonts w:ascii="Arial" w:hAnsi="Arial" w:cs="Arial"/>
        </w:rPr>
        <w:t xml:space="preserve"> Castelar 4) Universidad Católica de Córdoba</w:t>
      </w:r>
      <w:r w:rsidR="00B341CD" w:rsidRPr="00FF16C2">
        <w:rPr>
          <w:rFonts w:ascii="Arial" w:hAnsi="Arial" w:cs="Arial"/>
        </w:rPr>
        <w:t>. Facultad de Ciencias Químicas</w:t>
      </w:r>
      <w:r w:rsidRPr="00FF16C2">
        <w:rPr>
          <w:rFonts w:ascii="Arial" w:hAnsi="Arial" w:cs="Arial"/>
        </w:rPr>
        <w:t>. Cá</w:t>
      </w:r>
      <w:r w:rsidR="00B341CD" w:rsidRPr="00FF16C2">
        <w:rPr>
          <w:rFonts w:ascii="Arial" w:hAnsi="Arial" w:cs="Arial"/>
        </w:rPr>
        <w:t xml:space="preserve">tedra de Biotecnología. 5) Laboratorio de </w:t>
      </w:r>
      <w:r w:rsidR="00707165" w:rsidRPr="00FF16C2">
        <w:rPr>
          <w:rFonts w:ascii="Arial" w:hAnsi="Arial" w:cs="Arial"/>
        </w:rPr>
        <w:t>Análisis</w:t>
      </w:r>
      <w:r w:rsidR="00B341CD" w:rsidRPr="00FF16C2">
        <w:rPr>
          <w:rFonts w:ascii="Arial" w:hAnsi="Arial" w:cs="Arial"/>
        </w:rPr>
        <w:t xml:space="preserve"> </w:t>
      </w:r>
      <w:r w:rsidR="00707165" w:rsidRPr="00FF16C2">
        <w:rPr>
          <w:rFonts w:ascii="Arial" w:hAnsi="Arial" w:cs="Arial"/>
        </w:rPr>
        <w:t>Clínicos</w:t>
      </w:r>
      <w:r w:rsidR="00B341CD" w:rsidRPr="00FF16C2">
        <w:rPr>
          <w:rFonts w:ascii="Arial" w:hAnsi="Arial" w:cs="Arial"/>
        </w:rPr>
        <w:t xml:space="preserve"> y Especializados </w:t>
      </w:r>
      <w:r w:rsidR="00707165" w:rsidRPr="00FF16C2">
        <w:rPr>
          <w:rFonts w:ascii="Arial" w:hAnsi="Arial" w:cs="Arial"/>
        </w:rPr>
        <w:t xml:space="preserve">(LACE). 6) Hospital Italiano Buenos Aires. Área de Dermatología Experimental. </w:t>
      </w:r>
      <w:r w:rsidR="00586AB3">
        <w:rPr>
          <w:rFonts w:ascii="Arial" w:hAnsi="Arial" w:cs="Arial"/>
        </w:rPr>
        <w:t>7</w:t>
      </w:r>
      <w:r w:rsidR="00586AB3" w:rsidRPr="00FF16C2">
        <w:rPr>
          <w:rFonts w:ascii="Arial" w:hAnsi="Arial" w:cs="Arial"/>
        </w:rPr>
        <w:t xml:space="preserve">) Hospital Italiano Buenos Aires. Área de Investigación en Medicina Interna </w:t>
      </w:r>
      <w:r w:rsidR="00586AB3">
        <w:rPr>
          <w:rFonts w:ascii="Arial" w:hAnsi="Arial" w:cs="Arial"/>
        </w:rPr>
        <w:t>8</w:t>
      </w:r>
      <w:r w:rsidR="00BA30A9" w:rsidRPr="00FF16C2">
        <w:rPr>
          <w:rFonts w:ascii="Arial" w:hAnsi="Arial" w:cs="Arial"/>
        </w:rPr>
        <w:t xml:space="preserve">) </w:t>
      </w:r>
      <w:r w:rsidRPr="00FF16C2">
        <w:rPr>
          <w:rFonts w:ascii="Arial" w:hAnsi="Arial" w:cs="Arial"/>
        </w:rPr>
        <w:t xml:space="preserve">INTA-Chacra Experimental Integrada Barrow </w:t>
      </w:r>
      <w:r w:rsidR="00586AB3">
        <w:rPr>
          <w:rFonts w:ascii="Arial" w:hAnsi="Arial" w:cs="Arial"/>
        </w:rPr>
        <w:t>9</w:t>
      </w:r>
      <w:r w:rsidRPr="00FF16C2">
        <w:rPr>
          <w:rFonts w:ascii="Arial" w:hAnsi="Arial" w:cs="Arial"/>
        </w:rPr>
        <w:t>) INTA-Instituto de Biotecnología. Castelar</w:t>
      </w:r>
    </w:p>
    <w:p w14:paraId="0921D104" w14:textId="6956286E" w:rsidR="00FF16C2" w:rsidRPr="0036631B" w:rsidRDefault="0036631B" w:rsidP="0036631B">
      <w:pPr>
        <w:jc w:val="center"/>
        <w:rPr>
          <w:rFonts w:ascii="Arial" w:hAnsi="Arial" w:cs="Arial"/>
          <w:lang w:val="en-US"/>
        </w:rPr>
      </w:pPr>
      <w:r w:rsidRPr="0036631B">
        <w:rPr>
          <w:rFonts w:ascii="Arial" w:hAnsi="Arial" w:cs="Arial"/>
          <w:lang w:val="en-US"/>
        </w:rPr>
        <w:t>Email: vanzetti.leonardo@inta.gob.ar</w:t>
      </w:r>
    </w:p>
    <w:p w14:paraId="0C2A512A" w14:textId="7F892EAD" w:rsidR="00033715" w:rsidRDefault="00ED78D6" w:rsidP="00BA30A9">
      <w:pPr>
        <w:spacing w:after="0" w:line="240" w:lineRule="auto"/>
        <w:jc w:val="both"/>
        <w:rPr>
          <w:rFonts w:ascii="Arial" w:eastAsia="Calibri" w:hAnsi="Arial" w:cs="Arial"/>
        </w:rPr>
      </w:pPr>
      <w:r w:rsidRPr="009F4A3E">
        <w:rPr>
          <w:rFonts w:ascii="Arial" w:eastAsia="Calibri" w:hAnsi="Arial" w:cs="Arial"/>
        </w:rPr>
        <w:t>La enfermedad celíaca (EC) es una condición permanente de intolerancia al gluten,</w:t>
      </w:r>
      <w:r w:rsidRPr="009F4A3E">
        <w:rPr>
          <w:rFonts w:ascii="Arial" w:hAnsi="Arial" w:cs="Arial"/>
        </w:rPr>
        <w:t xml:space="preserve"> que se manifiesta como una enteropatía mediada por mecanismos inmunológicos. En </w:t>
      </w:r>
      <w:r w:rsidRPr="009F4A3E">
        <w:rPr>
          <w:rFonts w:ascii="Arial" w:eastAsia="Calibri" w:hAnsi="Arial" w:cs="Arial"/>
        </w:rPr>
        <w:t>Argentina la EC afecta aproximadamente a</w:t>
      </w:r>
      <w:r w:rsidR="00E74C67">
        <w:rPr>
          <w:rFonts w:ascii="Arial" w:eastAsia="Calibri" w:hAnsi="Arial" w:cs="Arial"/>
        </w:rPr>
        <w:t>l</w:t>
      </w:r>
      <w:r w:rsidRPr="009F4A3E">
        <w:rPr>
          <w:rFonts w:ascii="Arial" w:eastAsia="Calibri" w:hAnsi="Arial" w:cs="Arial"/>
        </w:rPr>
        <w:t xml:space="preserve"> 1</w:t>
      </w:r>
      <w:r w:rsidR="00E74C67">
        <w:rPr>
          <w:rFonts w:ascii="Arial" w:eastAsia="Calibri" w:hAnsi="Arial" w:cs="Arial"/>
        </w:rPr>
        <w:t>%</w:t>
      </w:r>
      <w:r w:rsidRPr="009F4A3E">
        <w:rPr>
          <w:rFonts w:ascii="Arial" w:eastAsia="Calibri" w:hAnsi="Arial" w:cs="Arial"/>
        </w:rPr>
        <w:t xml:space="preserve"> de </w:t>
      </w:r>
      <w:r w:rsidR="00E74C67">
        <w:rPr>
          <w:rFonts w:ascii="Arial" w:eastAsia="Calibri" w:hAnsi="Arial" w:cs="Arial"/>
        </w:rPr>
        <w:t xml:space="preserve">la población y </w:t>
      </w:r>
      <w:r w:rsidR="005C328F" w:rsidRPr="005C328F">
        <w:rPr>
          <w:rFonts w:ascii="Arial" w:eastAsia="Calibri" w:hAnsi="Arial" w:cs="Arial"/>
        </w:rPr>
        <w:t xml:space="preserve">el 6% </w:t>
      </w:r>
      <w:r w:rsidR="00E74C67">
        <w:rPr>
          <w:rFonts w:ascii="Arial" w:eastAsia="Calibri" w:hAnsi="Arial" w:cs="Arial"/>
        </w:rPr>
        <w:t xml:space="preserve">de la misma </w:t>
      </w:r>
      <w:r w:rsidR="005C328F" w:rsidRPr="005C328F">
        <w:rPr>
          <w:rFonts w:ascii="Arial" w:eastAsia="Calibri" w:hAnsi="Arial" w:cs="Arial"/>
        </w:rPr>
        <w:t xml:space="preserve">presenta </w:t>
      </w:r>
      <w:r w:rsidR="00E74C67">
        <w:rPr>
          <w:rFonts w:ascii="Arial" w:eastAsia="Calibri" w:hAnsi="Arial" w:cs="Arial"/>
        </w:rPr>
        <w:t>alguna</w:t>
      </w:r>
      <w:r w:rsidR="005C328F" w:rsidRPr="005C328F">
        <w:rPr>
          <w:rFonts w:ascii="Arial" w:eastAsia="Calibri" w:hAnsi="Arial" w:cs="Arial"/>
        </w:rPr>
        <w:t xml:space="preserve"> sensibilidad al gluten (SG)</w:t>
      </w:r>
      <w:r w:rsidR="005C328F">
        <w:rPr>
          <w:rFonts w:ascii="Arial" w:eastAsia="Calibri" w:hAnsi="Arial" w:cs="Arial"/>
        </w:rPr>
        <w:t>.</w:t>
      </w:r>
      <w:r w:rsidR="005C328F" w:rsidRPr="005C328F">
        <w:rPr>
          <w:rFonts w:ascii="Arial" w:eastAsia="Calibri" w:hAnsi="Arial" w:cs="Arial"/>
        </w:rPr>
        <w:t xml:space="preserve"> </w:t>
      </w:r>
      <w:r w:rsidR="00A24926">
        <w:rPr>
          <w:rFonts w:ascii="Arial" w:eastAsia="Calibri" w:hAnsi="Arial" w:cs="Arial"/>
        </w:rPr>
        <w:t xml:space="preserve">El tratamiento para </w:t>
      </w:r>
      <w:r w:rsidR="005C328F" w:rsidRPr="005C328F">
        <w:rPr>
          <w:rFonts w:ascii="Arial" w:eastAsia="Calibri" w:hAnsi="Arial" w:cs="Arial"/>
        </w:rPr>
        <w:t xml:space="preserve">estas patologías es una dieta estricta </w:t>
      </w:r>
      <w:r w:rsidR="00707165">
        <w:rPr>
          <w:rFonts w:ascii="Arial" w:eastAsia="Calibri" w:hAnsi="Arial" w:cs="Arial"/>
        </w:rPr>
        <w:t>de</w:t>
      </w:r>
      <w:r w:rsidR="005C328F" w:rsidRPr="005C328F">
        <w:rPr>
          <w:rFonts w:ascii="Arial" w:eastAsia="Calibri" w:hAnsi="Arial" w:cs="Arial"/>
        </w:rPr>
        <w:t xml:space="preserve"> alimentos libres de gluten, lo cual</w:t>
      </w:r>
      <w:r w:rsidR="000C4A0F">
        <w:rPr>
          <w:rFonts w:ascii="Arial" w:eastAsia="Calibri" w:hAnsi="Arial" w:cs="Arial"/>
        </w:rPr>
        <w:t xml:space="preserve"> no es tarea sencilla </w:t>
      </w:r>
      <w:r w:rsidR="005C328F" w:rsidRPr="005C328F">
        <w:rPr>
          <w:rFonts w:ascii="Arial" w:eastAsia="Calibri" w:hAnsi="Arial" w:cs="Arial"/>
        </w:rPr>
        <w:t>ya que</w:t>
      </w:r>
      <w:r w:rsidR="005C328F">
        <w:rPr>
          <w:rFonts w:ascii="Arial" w:eastAsia="Calibri" w:hAnsi="Arial" w:cs="Arial"/>
        </w:rPr>
        <w:t xml:space="preserve"> </w:t>
      </w:r>
      <w:r w:rsidR="00707165">
        <w:rPr>
          <w:rFonts w:ascii="Arial" w:eastAsia="Calibri" w:hAnsi="Arial" w:cs="Arial"/>
        </w:rPr>
        <w:t>en</w:t>
      </w:r>
      <w:r w:rsidR="005C328F" w:rsidRPr="005C328F">
        <w:rPr>
          <w:rFonts w:ascii="Arial" w:eastAsia="Calibri" w:hAnsi="Arial" w:cs="Arial"/>
        </w:rPr>
        <w:t xml:space="preserve"> </w:t>
      </w:r>
      <w:r w:rsidR="00766173">
        <w:rPr>
          <w:rFonts w:ascii="Arial" w:eastAsia="Calibri" w:hAnsi="Arial" w:cs="Arial"/>
        </w:rPr>
        <w:t>A</w:t>
      </w:r>
      <w:r w:rsidR="005C328F" w:rsidRPr="005C328F">
        <w:rPr>
          <w:rFonts w:ascii="Arial" w:eastAsia="Calibri" w:hAnsi="Arial" w:cs="Arial"/>
        </w:rPr>
        <w:t xml:space="preserve">rgentina </w:t>
      </w:r>
      <w:r w:rsidR="000C4A0F" w:rsidRPr="005C328F">
        <w:rPr>
          <w:rFonts w:ascii="Arial" w:eastAsia="Calibri" w:hAnsi="Arial" w:cs="Arial"/>
        </w:rPr>
        <w:t>el 80% de los alimentos procesados industrialmente contienen gluten</w:t>
      </w:r>
      <w:r w:rsidR="000C4A0F">
        <w:rPr>
          <w:rFonts w:ascii="Arial" w:eastAsia="Calibri" w:hAnsi="Arial" w:cs="Arial"/>
        </w:rPr>
        <w:t xml:space="preserve"> y </w:t>
      </w:r>
      <w:r w:rsidR="00707165">
        <w:rPr>
          <w:rFonts w:ascii="Arial" w:eastAsia="Calibri" w:hAnsi="Arial" w:cs="Arial"/>
        </w:rPr>
        <w:t>el consumo</w:t>
      </w:r>
      <w:r w:rsidR="000C4A0F">
        <w:rPr>
          <w:rFonts w:ascii="Arial" w:eastAsia="Calibri" w:hAnsi="Arial" w:cs="Arial"/>
        </w:rPr>
        <w:t xml:space="preserve"> anual</w:t>
      </w:r>
      <w:r w:rsidR="00707165">
        <w:rPr>
          <w:rFonts w:ascii="Arial" w:eastAsia="Calibri" w:hAnsi="Arial" w:cs="Arial"/>
        </w:rPr>
        <w:t xml:space="preserve"> </w:t>
      </w:r>
      <w:r w:rsidR="000C4A0F">
        <w:rPr>
          <w:rFonts w:ascii="Arial" w:eastAsia="Calibri" w:hAnsi="Arial" w:cs="Arial"/>
        </w:rPr>
        <w:t xml:space="preserve">directo </w:t>
      </w:r>
      <w:r w:rsidR="00707165">
        <w:rPr>
          <w:rFonts w:ascii="Arial" w:eastAsia="Calibri" w:hAnsi="Arial" w:cs="Arial"/>
        </w:rPr>
        <w:t>de harina de trigo es de</w:t>
      </w:r>
      <w:r w:rsidR="005C328F" w:rsidRPr="005C328F">
        <w:rPr>
          <w:rFonts w:ascii="Arial" w:eastAsia="Calibri" w:hAnsi="Arial" w:cs="Arial"/>
        </w:rPr>
        <w:t xml:space="preserve"> 100-125kg/habitante</w:t>
      </w:r>
      <w:r w:rsidR="005C328F">
        <w:rPr>
          <w:rFonts w:ascii="Arial" w:eastAsia="Calibri" w:hAnsi="Arial" w:cs="Arial"/>
        </w:rPr>
        <w:t>.</w:t>
      </w:r>
    </w:p>
    <w:p w14:paraId="7D5A6C46" w14:textId="4DF1EE4A" w:rsidR="00E74C67" w:rsidRDefault="003E26E0" w:rsidP="00BA30A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BD5FAD" w:rsidRPr="00BD5FAD">
        <w:rPr>
          <w:rFonts w:ascii="Arial" w:eastAsia="Calibri" w:hAnsi="Arial" w:cs="Arial"/>
        </w:rPr>
        <w:t>l gluten está compuesto por distintas fracciones proteicas. Entre ellas, las gliadinas, son las principales causantes de la intolerancia al gluten</w:t>
      </w:r>
      <w:r w:rsidR="00B341CD" w:rsidRPr="00BE3C76">
        <w:rPr>
          <w:rFonts w:ascii="Arial" w:eastAsia="Calibri" w:hAnsi="Arial" w:cs="Arial"/>
        </w:rPr>
        <w:t xml:space="preserve">. </w:t>
      </w:r>
      <w:r w:rsidR="00E74C67">
        <w:rPr>
          <w:rFonts w:ascii="Arial" w:eastAsia="Calibri" w:hAnsi="Arial" w:cs="Arial"/>
        </w:rPr>
        <w:t>En particular, l</w:t>
      </w:r>
      <w:r w:rsidR="00B341CD" w:rsidRPr="00BE3C76">
        <w:rPr>
          <w:rFonts w:ascii="Arial" w:eastAsia="Calibri" w:hAnsi="Arial" w:cs="Arial"/>
        </w:rPr>
        <w:t>as α-</w:t>
      </w:r>
      <w:r w:rsidR="00E74C67" w:rsidRPr="00BE3C76">
        <w:rPr>
          <w:rFonts w:ascii="Arial" w:eastAsia="Calibri" w:hAnsi="Arial" w:cs="Arial"/>
        </w:rPr>
        <w:t>gliadinas</w:t>
      </w:r>
      <w:r w:rsidR="00E74C67">
        <w:rPr>
          <w:rFonts w:ascii="Arial" w:eastAsia="Calibri" w:hAnsi="Arial" w:cs="Arial"/>
        </w:rPr>
        <w:t xml:space="preserve"> son altamente inmunogénicas </w:t>
      </w:r>
      <w:r w:rsidR="00652431">
        <w:rPr>
          <w:rFonts w:ascii="Arial" w:eastAsia="Calibri" w:hAnsi="Arial" w:cs="Arial"/>
        </w:rPr>
        <w:t>y e</w:t>
      </w:r>
      <w:r w:rsidR="00B341CD" w:rsidRPr="00BE3C76">
        <w:rPr>
          <w:rFonts w:ascii="Arial" w:eastAsia="Calibri" w:hAnsi="Arial" w:cs="Arial"/>
        </w:rPr>
        <w:t>stán codificadas por genes en tándem localizados en los brazos cortos del grupo de cromosomas 6 de trigo</w:t>
      </w:r>
      <w:r w:rsidR="00C03FD0">
        <w:rPr>
          <w:rFonts w:ascii="Arial" w:eastAsia="Calibri" w:hAnsi="Arial" w:cs="Arial"/>
        </w:rPr>
        <w:t xml:space="preserve"> (</w:t>
      </w:r>
      <w:r w:rsidR="00C03FD0" w:rsidRPr="00BD5FAD">
        <w:rPr>
          <w:rFonts w:ascii="Arial" w:eastAsia="Calibri" w:hAnsi="Arial" w:cs="Arial"/>
          <w:i/>
        </w:rPr>
        <w:t>Triticum aestivum</w:t>
      </w:r>
      <w:r w:rsidR="00C03FD0">
        <w:rPr>
          <w:rFonts w:ascii="Arial" w:eastAsia="Calibri" w:hAnsi="Arial" w:cs="Arial"/>
        </w:rPr>
        <w:t xml:space="preserve"> L., 6x, A</w:t>
      </w:r>
      <w:r w:rsidR="00BD5FAD">
        <w:rPr>
          <w:rFonts w:ascii="Arial" w:eastAsia="Calibri" w:hAnsi="Arial" w:cs="Arial"/>
        </w:rPr>
        <w:t>A</w:t>
      </w:r>
      <w:r w:rsidR="00C03FD0">
        <w:rPr>
          <w:rFonts w:ascii="Arial" w:eastAsia="Calibri" w:hAnsi="Arial" w:cs="Arial"/>
        </w:rPr>
        <w:t>B</w:t>
      </w:r>
      <w:r w:rsidR="00BD5FAD">
        <w:rPr>
          <w:rFonts w:ascii="Arial" w:eastAsia="Calibri" w:hAnsi="Arial" w:cs="Arial"/>
        </w:rPr>
        <w:t>B</w:t>
      </w:r>
      <w:r w:rsidR="00C03FD0">
        <w:rPr>
          <w:rFonts w:ascii="Arial" w:eastAsia="Calibri" w:hAnsi="Arial" w:cs="Arial"/>
        </w:rPr>
        <w:t>D</w:t>
      </w:r>
      <w:r w:rsidR="00BD5FAD">
        <w:rPr>
          <w:rFonts w:ascii="Arial" w:eastAsia="Calibri" w:hAnsi="Arial" w:cs="Arial"/>
        </w:rPr>
        <w:t>D</w:t>
      </w:r>
      <w:r w:rsidR="00C03FD0">
        <w:rPr>
          <w:rFonts w:ascii="Arial" w:eastAsia="Calibri" w:hAnsi="Arial" w:cs="Arial"/>
        </w:rPr>
        <w:t>)</w:t>
      </w:r>
      <w:r w:rsidR="003D31DE">
        <w:rPr>
          <w:rFonts w:ascii="Arial" w:eastAsia="Calibri" w:hAnsi="Arial" w:cs="Arial"/>
        </w:rPr>
        <w:t>.</w:t>
      </w:r>
      <w:r w:rsidR="00B341CD" w:rsidRPr="00BE3C76">
        <w:rPr>
          <w:rFonts w:ascii="Arial" w:eastAsia="Calibri" w:hAnsi="Arial" w:cs="Arial"/>
        </w:rPr>
        <w:t xml:space="preserve"> </w:t>
      </w:r>
    </w:p>
    <w:p w14:paraId="0D69CB36" w14:textId="0DE87986" w:rsidR="003E26E0" w:rsidRDefault="009D6BA6" w:rsidP="00BA3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Este trabajo presenta</w:t>
      </w:r>
      <w:r w:rsidR="004A0D72">
        <w:rPr>
          <w:rFonts w:ascii="Arial" w:eastAsia="Calibri" w:hAnsi="Arial" w:cs="Arial"/>
        </w:rPr>
        <w:t xml:space="preserve"> estrategias para el desarrollo de trigos con menor poder inmunogénico para la EC y SG</w:t>
      </w:r>
      <w:r w:rsidR="00033715">
        <w:rPr>
          <w:rFonts w:ascii="Arial" w:eastAsia="Calibri" w:hAnsi="Arial" w:cs="Arial"/>
        </w:rPr>
        <w:t>,</w:t>
      </w:r>
      <w:r w:rsidR="0083166A">
        <w:rPr>
          <w:rFonts w:ascii="Arial" w:eastAsia="Calibri" w:hAnsi="Arial" w:cs="Arial"/>
        </w:rPr>
        <w:t xml:space="preserve"> adaptado</w:t>
      </w:r>
      <w:r w:rsidR="00033715">
        <w:rPr>
          <w:rFonts w:ascii="Arial" w:eastAsia="Calibri" w:hAnsi="Arial" w:cs="Arial"/>
        </w:rPr>
        <w:t>s</w:t>
      </w:r>
      <w:r w:rsidR="0083166A">
        <w:rPr>
          <w:rFonts w:ascii="Arial" w:eastAsia="Calibri" w:hAnsi="Arial" w:cs="Arial"/>
        </w:rPr>
        <w:t xml:space="preserve"> a las condiciones de cultivo de Argentina</w:t>
      </w:r>
      <w:r w:rsidR="00AA1827">
        <w:rPr>
          <w:rFonts w:ascii="Arial" w:eastAsia="Calibri" w:hAnsi="Arial" w:cs="Arial"/>
        </w:rPr>
        <w:t>, manteniendo aptitud para la industria panadera</w:t>
      </w:r>
      <w:r>
        <w:rPr>
          <w:rFonts w:ascii="Arial" w:eastAsia="Calibri" w:hAnsi="Arial" w:cs="Arial"/>
        </w:rPr>
        <w:t xml:space="preserve">. </w:t>
      </w:r>
      <w:r w:rsidR="00301B64">
        <w:rPr>
          <w:rFonts w:ascii="Arial" w:hAnsi="Arial" w:cs="Arial"/>
        </w:rPr>
        <w:t xml:space="preserve">La primera estrategia </w:t>
      </w:r>
      <w:r w:rsidR="00AA1827">
        <w:rPr>
          <w:rFonts w:ascii="Arial" w:hAnsi="Arial" w:cs="Arial"/>
        </w:rPr>
        <w:t xml:space="preserve">se basa en la identificación y uso de variabilidad natural presente en genes de </w:t>
      </w:r>
      <w:r w:rsidR="00AA1827" w:rsidRPr="00BE3C76">
        <w:rPr>
          <w:rFonts w:ascii="Arial" w:eastAsia="Calibri" w:hAnsi="Arial" w:cs="Arial"/>
        </w:rPr>
        <w:t>α</w:t>
      </w:r>
      <w:r w:rsidR="00B32787">
        <w:rPr>
          <w:rFonts w:ascii="Arial" w:eastAsia="Calibri" w:hAnsi="Arial" w:cs="Arial"/>
        </w:rPr>
        <w:t xml:space="preserve">-gliadinas, particularmente en la región que codifica el </w:t>
      </w:r>
      <w:r w:rsidR="00BD5FAD">
        <w:rPr>
          <w:rFonts w:ascii="Arial" w:eastAsia="Calibri" w:hAnsi="Arial" w:cs="Arial"/>
        </w:rPr>
        <w:t>segmento denominado</w:t>
      </w:r>
      <w:r w:rsidR="00B32787">
        <w:rPr>
          <w:rFonts w:ascii="Arial" w:eastAsia="Calibri" w:hAnsi="Arial" w:cs="Arial"/>
        </w:rPr>
        <w:t xml:space="preserve"> 33-mer</w:t>
      </w:r>
      <w:r w:rsidR="00D9412B">
        <w:rPr>
          <w:rFonts w:ascii="Arial" w:eastAsia="Calibri" w:hAnsi="Arial" w:cs="Arial"/>
        </w:rPr>
        <w:t>,</w:t>
      </w:r>
      <w:r w:rsidR="00B32787">
        <w:rPr>
          <w:rFonts w:ascii="Arial" w:eastAsia="Calibri" w:hAnsi="Arial" w:cs="Arial"/>
        </w:rPr>
        <w:t xml:space="preserve"> el cual es altamente inmunogénico y resistente a la degradación intestinal. </w:t>
      </w:r>
      <w:r w:rsidR="00985422">
        <w:rPr>
          <w:rFonts w:ascii="Arial" w:hAnsi="Arial" w:cs="Arial"/>
        </w:rPr>
        <w:t xml:space="preserve">La caracterización se realizará mediante secuenciación de alto rendimiento </w:t>
      </w:r>
      <w:r w:rsidR="00AA1E29">
        <w:rPr>
          <w:rFonts w:ascii="Arial" w:hAnsi="Arial" w:cs="Arial"/>
        </w:rPr>
        <w:t xml:space="preserve">de un panel de </w:t>
      </w:r>
      <w:proofErr w:type="spellStart"/>
      <w:r w:rsidR="00AA1E29">
        <w:rPr>
          <w:rFonts w:ascii="Arial" w:hAnsi="Arial" w:cs="Arial"/>
        </w:rPr>
        <w:t>amplicones</w:t>
      </w:r>
      <w:proofErr w:type="spellEnd"/>
      <w:r w:rsidR="00AA1E29">
        <w:rPr>
          <w:rFonts w:ascii="Arial" w:hAnsi="Arial" w:cs="Arial"/>
        </w:rPr>
        <w:t xml:space="preserve"> diseñado a partir de regiones específicas de </w:t>
      </w:r>
      <w:r w:rsidR="00BA30A9">
        <w:rPr>
          <w:rFonts w:ascii="Arial" w:hAnsi="Arial" w:cs="Arial"/>
        </w:rPr>
        <w:t xml:space="preserve">α-gliadinas </w:t>
      </w:r>
      <w:r w:rsidR="00985422">
        <w:rPr>
          <w:rFonts w:ascii="Arial" w:hAnsi="Arial" w:cs="Arial"/>
        </w:rPr>
        <w:t xml:space="preserve">y </w:t>
      </w:r>
      <w:r w:rsidR="006A2812">
        <w:rPr>
          <w:rFonts w:ascii="Arial" w:hAnsi="Arial" w:cs="Arial"/>
        </w:rPr>
        <w:t xml:space="preserve">posterior </w:t>
      </w:r>
      <w:r w:rsidR="00985422">
        <w:rPr>
          <w:rFonts w:ascii="Arial" w:hAnsi="Arial" w:cs="Arial"/>
        </w:rPr>
        <w:t>análisis bioinformático</w:t>
      </w:r>
      <w:r w:rsidR="00652431">
        <w:rPr>
          <w:rFonts w:ascii="Arial" w:hAnsi="Arial" w:cs="Arial"/>
        </w:rPr>
        <w:t>.</w:t>
      </w:r>
      <w:r w:rsidR="00985422">
        <w:rPr>
          <w:rFonts w:ascii="Arial" w:hAnsi="Arial" w:cs="Arial"/>
        </w:rPr>
        <w:t xml:space="preserve"> Paralelamente se </w:t>
      </w:r>
      <w:r w:rsidR="00985422" w:rsidRPr="00985422">
        <w:rPr>
          <w:rFonts w:ascii="Arial" w:hAnsi="Arial" w:cs="Arial"/>
        </w:rPr>
        <w:t>determinar</w:t>
      </w:r>
      <w:r w:rsidR="00985422">
        <w:rPr>
          <w:rFonts w:ascii="Arial" w:hAnsi="Arial" w:cs="Arial"/>
        </w:rPr>
        <w:t>á</w:t>
      </w:r>
      <w:r w:rsidR="00985422" w:rsidRPr="00985422">
        <w:rPr>
          <w:rFonts w:ascii="Arial" w:hAnsi="Arial" w:cs="Arial"/>
        </w:rPr>
        <w:t xml:space="preserve"> el grado de inmunogenicidad </w:t>
      </w:r>
      <w:r w:rsidR="00BA30A9">
        <w:rPr>
          <w:rFonts w:ascii="Arial" w:hAnsi="Arial" w:cs="Arial"/>
        </w:rPr>
        <w:t xml:space="preserve">de </w:t>
      </w:r>
      <w:r w:rsidR="00985422">
        <w:rPr>
          <w:rFonts w:ascii="Arial" w:hAnsi="Arial" w:cs="Arial"/>
        </w:rPr>
        <w:t>las variedades analizadas</w:t>
      </w:r>
      <w:r w:rsidR="00985422" w:rsidRPr="00985422">
        <w:rPr>
          <w:rFonts w:ascii="Arial" w:hAnsi="Arial" w:cs="Arial"/>
        </w:rPr>
        <w:t xml:space="preserve"> mediante el uso </w:t>
      </w:r>
      <w:r w:rsidR="00174466">
        <w:rPr>
          <w:rFonts w:ascii="Arial" w:hAnsi="Arial" w:cs="Arial"/>
        </w:rPr>
        <w:t xml:space="preserve">de pruebas </w:t>
      </w:r>
      <w:r w:rsidR="00174466" w:rsidRPr="003922B6">
        <w:rPr>
          <w:rFonts w:ascii="Arial" w:hAnsi="Arial" w:cs="Arial"/>
          <w:i/>
        </w:rPr>
        <w:t>in vitro</w:t>
      </w:r>
      <w:r w:rsidR="00174466">
        <w:rPr>
          <w:rFonts w:ascii="Arial" w:hAnsi="Arial" w:cs="Arial"/>
        </w:rPr>
        <w:t xml:space="preserve"> de respuestas</w:t>
      </w:r>
      <w:r w:rsidR="00985422" w:rsidRPr="00985422">
        <w:rPr>
          <w:rFonts w:ascii="Arial" w:hAnsi="Arial" w:cs="Arial"/>
        </w:rPr>
        <w:t xml:space="preserve"> inmunológicas (proliferación de células T y síntesis de interferón gamma)</w:t>
      </w:r>
      <w:r w:rsidR="00985422">
        <w:rPr>
          <w:rFonts w:ascii="Arial" w:hAnsi="Arial" w:cs="Arial"/>
        </w:rPr>
        <w:t>. Estos análisis permitirán establecer el grado de variabilidad presente en el germoplasma local de trigo y propone</w:t>
      </w:r>
      <w:r w:rsidR="00985422" w:rsidRPr="00985422">
        <w:rPr>
          <w:rFonts w:ascii="Arial" w:hAnsi="Arial" w:cs="Arial"/>
        </w:rPr>
        <w:t xml:space="preserve"> poner en valor los recursos genéticos locales en vistas a atender nuev</w:t>
      </w:r>
      <w:r w:rsidR="00F761B2">
        <w:rPr>
          <w:rFonts w:ascii="Arial" w:hAnsi="Arial" w:cs="Arial"/>
        </w:rPr>
        <w:t>a</w:t>
      </w:r>
      <w:r w:rsidR="00985422" w:rsidRPr="00985422">
        <w:rPr>
          <w:rFonts w:ascii="Arial" w:hAnsi="Arial" w:cs="Arial"/>
        </w:rPr>
        <w:t xml:space="preserve">s </w:t>
      </w:r>
      <w:r w:rsidR="00F761B2">
        <w:rPr>
          <w:rFonts w:ascii="Arial" w:hAnsi="Arial" w:cs="Arial"/>
        </w:rPr>
        <w:t>demandas</w:t>
      </w:r>
      <w:r w:rsidR="00F761B2" w:rsidRPr="00985422">
        <w:rPr>
          <w:rFonts w:ascii="Arial" w:hAnsi="Arial" w:cs="Arial"/>
        </w:rPr>
        <w:t xml:space="preserve"> </w:t>
      </w:r>
      <w:r w:rsidR="00985422" w:rsidRPr="00985422">
        <w:rPr>
          <w:rFonts w:ascii="Arial" w:hAnsi="Arial" w:cs="Arial"/>
        </w:rPr>
        <w:t>emergentes en programas de mejoramiento de trigo</w:t>
      </w:r>
      <w:r w:rsidR="003B7FED">
        <w:rPr>
          <w:rFonts w:ascii="Arial" w:hAnsi="Arial" w:cs="Arial"/>
        </w:rPr>
        <w:t xml:space="preserve"> como</w:t>
      </w:r>
      <w:r w:rsidR="00985422">
        <w:rPr>
          <w:rFonts w:ascii="Arial" w:hAnsi="Arial" w:cs="Arial"/>
        </w:rPr>
        <w:t xml:space="preserve"> es el desarrollo de trigos de bajo poder inmunogénico para la EC y patologías relacionadas. </w:t>
      </w:r>
    </w:p>
    <w:p w14:paraId="62995BBF" w14:textId="1E4AF1BB" w:rsidR="00BD5FAD" w:rsidRDefault="003B7FED" w:rsidP="00BA30A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La segunda estrategia </w:t>
      </w:r>
      <w:r w:rsidR="003E2DA4">
        <w:rPr>
          <w:rFonts w:ascii="Arial" w:hAnsi="Arial" w:cs="Arial"/>
        </w:rPr>
        <w:t>propone</w:t>
      </w:r>
      <w:r w:rsidR="009E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uso de la mutagénesis inducida </w:t>
      </w:r>
      <w:r w:rsidR="003E2DA4">
        <w:rPr>
          <w:rFonts w:ascii="Arial" w:hAnsi="Arial" w:cs="Arial"/>
        </w:rPr>
        <w:t xml:space="preserve">para </w:t>
      </w:r>
      <w:r w:rsidR="00BA30A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A30A9">
        <w:rPr>
          <w:rFonts w:ascii="Arial" w:hAnsi="Arial" w:cs="Arial"/>
        </w:rPr>
        <w:t xml:space="preserve">generación </w:t>
      </w:r>
      <w:r w:rsidR="003E2DA4">
        <w:rPr>
          <w:rFonts w:ascii="Arial" w:hAnsi="Arial" w:cs="Arial"/>
        </w:rPr>
        <w:t xml:space="preserve">y selección </w:t>
      </w:r>
      <w:r w:rsidR="00BA30A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variabilidad</w:t>
      </w:r>
      <w:r w:rsidR="003E2DA4">
        <w:rPr>
          <w:rFonts w:ascii="Arial" w:hAnsi="Arial" w:cs="Arial"/>
        </w:rPr>
        <w:t xml:space="preserve"> genética relevante para este proyecto</w:t>
      </w:r>
      <w:r w:rsidR="003E26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 utilizarán dos poblaciones de mutantes de irradiación (rayos gamma) las cuales serán caracterizadas mediante </w:t>
      </w:r>
      <w:proofErr w:type="spellStart"/>
      <w:r>
        <w:rPr>
          <w:rFonts w:ascii="Arial" w:hAnsi="Arial" w:cs="Arial"/>
        </w:rPr>
        <w:t>proteinogramas</w:t>
      </w:r>
      <w:proofErr w:type="spellEnd"/>
      <w:r>
        <w:rPr>
          <w:rFonts w:ascii="Arial" w:hAnsi="Arial" w:cs="Arial"/>
        </w:rPr>
        <w:t xml:space="preserve"> A-PAGE y marcadores moleculares</w:t>
      </w:r>
      <w:r w:rsidR="003E26E0">
        <w:rPr>
          <w:rFonts w:ascii="Arial" w:hAnsi="Arial" w:cs="Arial"/>
        </w:rPr>
        <w:t xml:space="preserve">, diseñados </w:t>
      </w:r>
      <w:r w:rsidR="003E26E0" w:rsidRPr="00652431">
        <w:rPr>
          <w:rFonts w:ascii="Arial" w:hAnsi="Arial" w:cs="Arial"/>
          <w:i/>
        </w:rPr>
        <w:t xml:space="preserve">in </w:t>
      </w:r>
      <w:proofErr w:type="spellStart"/>
      <w:r w:rsidR="003E26E0" w:rsidRPr="00652431">
        <w:rPr>
          <w:rFonts w:ascii="Arial" w:hAnsi="Arial" w:cs="Arial"/>
          <w:i/>
        </w:rPr>
        <w:t>silico</w:t>
      </w:r>
      <w:proofErr w:type="spellEnd"/>
      <w:r w:rsidR="003E26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búsqueda de deleciones para los distintos </w:t>
      </w:r>
      <w:r w:rsidR="00BA30A9" w:rsidRPr="00652431">
        <w:rPr>
          <w:rFonts w:ascii="Arial" w:hAnsi="Arial" w:cs="Arial"/>
          <w:i/>
        </w:rPr>
        <w:t>clústeres</w:t>
      </w:r>
      <w:r>
        <w:rPr>
          <w:rFonts w:ascii="Arial" w:hAnsi="Arial" w:cs="Arial"/>
        </w:rPr>
        <w:t xml:space="preserve"> de genes de </w:t>
      </w:r>
      <w:r w:rsidRPr="00BE3C76">
        <w:rPr>
          <w:rFonts w:ascii="Arial" w:eastAsia="Calibri" w:hAnsi="Arial" w:cs="Arial"/>
        </w:rPr>
        <w:t>α</w:t>
      </w:r>
      <w:r>
        <w:rPr>
          <w:rFonts w:ascii="Arial" w:eastAsia="Calibri" w:hAnsi="Arial" w:cs="Arial"/>
        </w:rPr>
        <w:t>-gliadinas.</w:t>
      </w:r>
      <w:r w:rsidR="009B03CC">
        <w:rPr>
          <w:rFonts w:ascii="Arial" w:eastAsia="Calibri" w:hAnsi="Arial" w:cs="Arial"/>
        </w:rPr>
        <w:t xml:space="preserve"> </w:t>
      </w:r>
      <w:r w:rsidR="004F6530">
        <w:rPr>
          <w:rFonts w:ascii="Arial" w:eastAsia="Calibri" w:hAnsi="Arial" w:cs="Arial"/>
        </w:rPr>
        <w:t xml:space="preserve">La evaluación </w:t>
      </w:r>
      <w:r w:rsidR="00BD5FAD">
        <w:rPr>
          <w:rFonts w:ascii="Arial" w:eastAsia="Calibri" w:hAnsi="Arial" w:cs="Arial"/>
        </w:rPr>
        <w:t xml:space="preserve">inmunológica </w:t>
      </w:r>
      <w:r w:rsidR="004F6530">
        <w:rPr>
          <w:rFonts w:ascii="Arial" w:eastAsia="Calibri" w:hAnsi="Arial" w:cs="Arial"/>
        </w:rPr>
        <w:t>de las variantes detectadas, conjuntamente con la evaluación funcional de las harinas determinará el valor de los recursos generados</w:t>
      </w:r>
      <w:r w:rsidR="00BD5FAD">
        <w:rPr>
          <w:rFonts w:ascii="Arial" w:eastAsia="Calibri" w:hAnsi="Arial" w:cs="Arial"/>
        </w:rPr>
        <w:t xml:space="preserve">. </w:t>
      </w:r>
    </w:p>
    <w:p w14:paraId="637794C5" w14:textId="0C95D49A" w:rsidR="009B03CC" w:rsidRPr="00AA1E29" w:rsidRDefault="009B03CC" w:rsidP="00BA30A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 bien estas dos estrategias se presentan por separado también </w:t>
      </w:r>
      <w:r w:rsidR="00FF16C2">
        <w:rPr>
          <w:rFonts w:ascii="Arial" w:eastAsia="Calibri" w:hAnsi="Arial" w:cs="Arial"/>
        </w:rPr>
        <w:t xml:space="preserve">pueden potenciarse </w:t>
      </w:r>
      <w:r>
        <w:rPr>
          <w:rFonts w:ascii="Arial" w:eastAsia="Calibri" w:hAnsi="Arial" w:cs="Arial"/>
        </w:rPr>
        <w:t xml:space="preserve">en combinación por los programas de mejoramiento de trigo para </w:t>
      </w:r>
      <w:r w:rsidR="00652431">
        <w:rPr>
          <w:rFonts w:ascii="Arial" w:eastAsia="Calibri" w:hAnsi="Arial" w:cs="Arial"/>
        </w:rPr>
        <w:t xml:space="preserve">facilitar </w:t>
      </w:r>
      <w:r>
        <w:rPr>
          <w:rFonts w:ascii="Arial" w:eastAsia="Calibri" w:hAnsi="Arial" w:cs="Arial"/>
        </w:rPr>
        <w:t>el desarrollo de trigos locales con baja inmunogenicidad para la EC y patologías relacionadas.</w:t>
      </w:r>
    </w:p>
    <w:sectPr w:rsidR="009B03CC" w:rsidRPr="00AA1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95"/>
    <w:multiLevelType w:val="hybridMultilevel"/>
    <w:tmpl w:val="2A44F5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C52"/>
    <w:multiLevelType w:val="hybridMultilevel"/>
    <w:tmpl w:val="F514825A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2216D"/>
    <w:multiLevelType w:val="hybridMultilevel"/>
    <w:tmpl w:val="7CCE6D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D68"/>
    <w:multiLevelType w:val="hybridMultilevel"/>
    <w:tmpl w:val="C4707F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13D3D"/>
    <w:multiLevelType w:val="hybridMultilevel"/>
    <w:tmpl w:val="6DB2B9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4503"/>
    <w:multiLevelType w:val="hybridMultilevel"/>
    <w:tmpl w:val="15CC7CE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6"/>
    <w:rsid w:val="00033715"/>
    <w:rsid w:val="000419D4"/>
    <w:rsid w:val="0007214C"/>
    <w:rsid w:val="000C4A0F"/>
    <w:rsid w:val="00174466"/>
    <w:rsid w:val="00210B7E"/>
    <w:rsid w:val="002D490D"/>
    <w:rsid w:val="00301B64"/>
    <w:rsid w:val="00312112"/>
    <w:rsid w:val="0036631B"/>
    <w:rsid w:val="003922B6"/>
    <w:rsid w:val="003B7FED"/>
    <w:rsid w:val="003D31DE"/>
    <w:rsid w:val="003E1EE6"/>
    <w:rsid w:val="003E26E0"/>
    <w:rsid w:val="003E2DA4"/>
    <w:rsid w:val="00407654"/>
    <w:rsid w:val="004A0D72"/>
    <w:rsid w:val="004F6530"/>
    <w:rsid w:val="005140D3"/>
    <w:rsid w:val="00522374"/>
    <w:rsid w:val="00586AB3"/>
    <w:rsid w:val="005C328F"/>
    <w:rsid w:val="00617DD2"/>
    <w:rsid w:val="006344E7"/>
    <w:rsid w:val="00652431"/>
    <w:rsid w:val="006A2812"/>
    <w:rsid w:val="00707165"/>
    <w:rsid w:val="00766173"/>
    <w:rsid w:val="008004B1"/>
    <w:rsid w:val="0083166A"/>
    <w:rsid w:val="00846BB7"/>
    <w:rsid w:val="008D2675"/>
    <w:rsid w:val="008E5863"/>
    <w:rsid w:val="00985422"/>
    <w:rsid w:val="009944DC"/>
    <w:rsid w:val="009B03CC"/>
    <w:rsid w:val="009D6BA6"/>
    <w:rsid w:val="009E1C19"/>
    <w:rsid w:val="009F4A3E"/>
    <w:rsid w:val="00A24926"/>
    <w:rsid w:val="00A456EE"/>
    <w:rsid w:val="00AA1827"/>
    <w:rsid w:val="00AA1E29"/>
    <w:rsid w:val="00AB5F36"/>
    <w:rsid w:val="00AC18BD"/>
    <w:rsid w:val="00B32787"/>
    <w:rsid w:val="00B341CD"/>
    <w:rsid w:val="00BA30A9"/>
    <w:rsid w:val="00BB2193"/>
    <w:rsid w:val="00BD5FAD"/>
    <w:rsid w:val="00BE3C76"/>
    <w:rsid w:val="00C03FD0"/>
    <w:rsid w:val="00C442D1"/>
    <w:rsid w:val="00C5296B"/>
    <w:rsid w:val="00CE3207"/>
    <w:rsid w:val="00D9412B"/>
    <w:rsid w:val="00E4008F"/>
    <w:rsid w:val="00E74C67"/>
    <w:rsid w:val="00ED44B6"/>
    <w:rsid w:val="00ED78D6"/>
    <w:rsid w:val="00F761B2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466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9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1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9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1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5D03-066F-4090-B344-45DCB8A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Vanzetti</dc:creator>
  <cp:lastModifiedBy>Alejandro Salvio Escandon</cp:lastModifiedBy>
  <cp:revision>3</cp:revision>
  <dcterms:created xsi:type="dcterms:W3CDTF">2017-08-14T12:20:00Z</dcterms:created>
  <dcterms:modified xsi:type="dcterms:W3CDTF">2017-08-28T12:27:00Z</dcterms:modified>
</cp:coreProperties>
</file>